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78A67478" w14:textId="3B8117F8" w:rsidR="00AA4A85"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62815737" w14:textId="77777777" w:rsidR="003964CD" w:rsidRPr="003964CD" w:rsidRDefault="003964CD" w:rsidP="003964CD">
      <w:pPr>
        <w:pStyle w:val="Corpodetexto"/>
      </w:pPr>
    </w:p>
    <w:p w14:paraId="24CF1755" w14:textId="5BDA77B5" w:rsidR="00AA4A85" w:rsidRPr="003964CD"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6C5273">
        <w:rPr>
          <w:color w:val="000000" w:themeColor="text1"/>
          <w:sz w:val="22"/>
          <w:szCs w:val="22"/>
        </w:rPr>
        <w:t>e</w:t>
      </w:r>
      <w:r w:rsidR="00C72918" w:rsidRPr="0084772B">
        <w:rPr>
          <w:color w:val="000000" w:themeColor="text1"/>
          <w:sz w:val="22"/>
          <w:szCs w:val="22"/>
        </w:rPr>
        <w:t xml:space="preserve"> </w:t>
      </w:r>
      <w:r w:rsidR="006C5273" w:rsidRPr="00B159D6">
        <w:rPr>
          <w:b/>
          <w:bCs/>
          <w:sz w:val="22"/>
          <w:szCs w:val="22"/>
        </w:rPr>
        <w:t xml:space="preserve">MEDICAMENTOS – </w:t>
      </w:r>
      <w:r w:rsidR="00E84F65">
        <w:rPr>
          <w:b/>
          <w:bCs/>
          <w:sz w:val="22"/>
          <w:szCs w:val="22"/>
        </w:rPr>
        <w:t>ANTIMICROBIANOS</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bookmarkStart w:id="1" w:name="_Hlk112749881"/>
      <w:r w:rsidR="005370A1">
        <w:rPr>
          <w:color w:val="000000" w:themeColor="text1"/>
          <w:sz w:val="22"/>
          <w:szCs w:val="22"/>
        </w:rPr>
        <w:t xml:space="preserve">Centro de Produção e Pesquisa de Imunobiológicos (CPPI), </w:t>
      </w:r>
      <w:bookmarkEnd w:id="1"/>
      <w:r w:rsidR="00FD71CA" w:rsidRPr="00002FF8">
        <w:rPr>
          <w:rFonts w:eastAsia="Times New Roman"/>
          <w:sz w:val="22"/>
          <w:szCs w:val="22"/>
          <w:lang w:eastAsia="pt-BR"/>
        </w:rPr>
        <w:t xml:space="preserve">Hospital Infantil Waldemar </w:t>
      </w:r>
      <w:proofErr w:type="spellStart"/>
      <w:r w:rsidR="00FD71CA" w:rsidRPr="00002FF8">
        <w:rPr>
          <w:rFonts w:eastAsia="Times New Roman"/>
          <w:sz w:val="22"/>
          <w:szCs w:val="22"/>
          <w:lang w:eastAsia="pt-BR"/>
        </w:rPr>
        <w:t>Monastier</w:t>
      </w:r>
      <w:proofErr w:type="spellEnd"/>
      <w:r w:rsidR="00FD71CA" w:rsidRPr="00002FF8">
        <w:rPr>
          <w:rFonts w:eastAsia="Times New Roman"/>
          <w:sz w:val="22"/>
          <w:szCs w:val="22"/>
          <w:lang w:eastAsia="pt-BR"/>
        </w:rPr>
        <w:t xml:space="preserve"> (HIWM), Hospital Regional de Guaraqueçaba (HRG), Hospital Regional Do Litoral (HRL), Hospital Regional Norte Pioneiro (HRNP), Hospital Regional Walter Alberto </w:t>
      </w:r>
      <w:proofErr w:type="spellStart"/>
      <w:r w:rsidR="00FD71CA" w:rsidRPr="00002FF8">
        <w:rPr>
          <w:rFonts w:eastAsia="Times New Roman"/>
          <w:sz w:val="22"/>
          <w:szCs w:val="22"/>
          <w:lang w:eastAsia="pt-BR"/>
        </w:rPr>
        <w:t>Pecoits</w:t>
      </w:r>
      <w:proofErr w:type="spellEnd"/>
      <w:r w:rsidR="00FD71CA" w:rsidRPr="00002FF8">
        <w:rPr>
          <w:rFonts w:eastAsia="Times New Roman"/>
          <w:sz w:val="22"/>
          <w:szCs w:val="22"/>
          <w:lang w:eastAsia="pt-BR"/>
        </w:rPr>
        <w:t xml:space="preserve"> (HRSWAP), Hospital Zona Sul Londrina (HZS), </w:t>
      </w:r>
      <w:bookmarkStart w:id="2" w:name="_Hlk108625748"/>
      <w:r w:rsidR="00C946AA" w:rsidRPr="00002FF8">
        <w:rPr>
          <w:rFonts w:eastAsia="Times New Roman"/>
          <w:sz w:val="22"/>
          <w:lang w:eastAsia="pt-BR"/>
        </w:rPr>
        <w:t>Hospital Regional Centro Oeste - Guarapuava (HRCO)</w:t>
      </w:r>
      <w:r w:rsidR="00C946AA" w:rsidRPr="00002FF8">
        <w:rPr>
          <w:rFonts w:eastAsia="Times New Roman"/>
          <w:lang w:eastAsia="pt-BR"/>
        </w:rPr>
        <w:t xml:space="preserve">, </w:t>
      </w:r>
      <w:r w:rsidR="00D1453B" w:rsidRPr="00002FF8">
        <w:rPr>
          <w:rFonts w:eastAsia="Times New Roman"/>
          <w:sz w:val="22"/>
          <w:szCs w:val="22"/>
          <w:lang w:eastAsia="pt-BR"/>
        </w:rPr>
        <w:t xml:space="preserve">Hospital </w:t>
      </w:r>
      <w:r w:rsidR="00B22D49" w:rsidRPr="00002FF8">
        <w:rPr>
          <w:rFonts w:eastAsia="Times New Roman"/>
          <w:sz w:val="22"/>
          <w:szCs w:val="22"/>
          <w:lang w:eastAsia="pt-BR"/>
        </w:rPr>
        <w:t xml:space="preserve">Regional </w:t>
      </w:r>
      <w:r w:rsidR="00D1453B" w:rsidRPr="00002FF8">
        <w:rPr>
          <w:rFonts w:eastAsia="Times New Roman"/>
          <w:sz w:val="22"/>
          <w:szCs w:val="22"/>
          <w:lang w:eastAsia="pt-BR"/>
        </w:rPr>
        <w:t>Ivaiporã (HRI</w:t>
      </w:r>
      <w:r w:rsidR="001258F1" w:rsidRPr="00002FF8">
        <w:rPr>
          <w:rFonts w:eastAsia="Times New Roman"/>
          <w:sz w:val="22"/>
          <w:szCs w:val="22"/>
          <w:lang w:eastAsia="pt-BR"/>
        </w:rPr>
        <w:t>V</w:t>
      </w:r>
      <w:r w:rsidR="00D1453B" w:rsidRPr="00002FF8">
        <w:rPr>
          <w:rFonts w:eastAsia="Times New Roman"/>
          <w:sz w:val="22"/>
          <w:szCs w:val="22"/>
          <w:lang w:eastAsia="pt-BR"/>
        </w:rPr>
        <w:t>)</w:t>
      </w:r>
      <w:r w:rsidR="00F1188D" w:rsidRPr="00002FF8">
        <w:rPr>
          <w:rFonts w:eastAsia="Times New Roman"/>
          <w:sz w:val="22"/>
          <w:szCs w:val="22"/>
          <w:lang w:eastAsia="pt-BR"/>
        </w:rPr>
        <w:t>,</w:t>
      </w:r>
      <w:r w:rsidR="00D1453B" w:rsidRPr="00002FF8">
        <w:rPr>
          <w:rFonts w:eastAsia="Times New Roman"/>
          <w:sz w:val="22"/>
          <w:szCs w:val="22"/>
          <w:lang w:eastAsia="pt-BR"/>
        </w:rPr>
        <w:t xml:space="preserve"> Hospital </w:t>
      </w:r>
      <w:r w:rsidR="00707C78" w:rsidRPr="00002FF8">
        <w:rPr>
          <w:rFonts w:eastAsia="Times New Roman"/>
          <w:sz w:val="22"/>
          <w:szCs w:val="22"/>
          <w:lang w:eastAsia="pt-BR"/>
        </w:rPr>
        <w:t xml:space="preserve">Regional </w:t>
      </w:r>
      <w:r w:rsidR="00D1453B" w:rsidRPr="00002FF8">
        <w:rPr>
          <w:rFonts w:eastAsia="Times New Roman"/>
          <w:sz w:val="22"/>
          <w:szCs w:val="22"/>
          <w:lang w:eastAsia="pt-BR"/>
        </w:rPr>
        <w:t>Telêmaco Borba (HRT</w:t>
      </w:r>
      <w:r w:rsidR="00E33995" w:rsidRPr="00002FF8">
        <w:rPr>
          <w:rFonts w:eastAsia="Times New Roman"/>
          <w:sz w:val="22"/>
          <w:szCs w:val="22"/>
          <w:lang w:eastAsia="pt-BR"/>
        </w:rPr>
        <w:t>B</w:t>
      </w:r>
      <w:r w:rsidR="00D1453B" w:rsidRPr="00002FF8">
        <w:rPr>
          <w:rFonts w:eastAsia="Times New Roman"/>
          <w:sz w:val="22"/>
          <w:szCs w:val="22"/>
          <w:lang w:eastAsia="pt-BR"/>
        </w:rPr>
        <w:t>)</w:t>
      </w:r>
      <w:r w:rsidR="006C5273" w:rsidRPr="00002FF8">
        <w:rPr>
          <w:rFonts w:eastAsia="Times New Roman"/>
          <w:sz w:val="22"/>
          <w:szCs w:val="22"/>
          <w:lang w:eastAsia="pt-BR"/>
        </w:rPr>
        <w:t xml:space="preserve"> e Hospital Colônia Adauto Botelho (HCAB),</w:t>
      </w:r>
      <w:r w:rsidR="00D1453B" w:rsidRPr="00002FF8">
        <w:rPr>
          <w:rFonts w:eastAsia="Arial"/>
          <w:sz w:val="22"/>
          <w:szCs w:val="22"/>
        </w:rPr>
        <w:t xml:space="preserve"> </w:t>
      </w:r>
      <w:bookmarkEnd w:id="2"/>
      <w:r w:rsidR="00AD36E8" w:rsidRPr="00002FF8">
        <w:rPr>
          <w:color w:val="auto"/>
          <w:sz w:val="22"/>
          <w:szCs w:val="22"/>
        </w:rPr>
        <w:t>conforme planilha abaixo:</w:t>
      </w:r>
    </w:p>
    <w:p w14:paraId="517AEECA" w14:textId="77777777" w:rsidR="003964CD" w:rsidRPr="00002FF8" w:rsidRDefault="003964CD" w:rsidP="003964CD">
      <w:pPr>
        <w:pStyle w:val="Default"/>
        <w:tabs>
          <w:tab w:val="left" w:pos="284"/>
          <w:tab w:val="left" w:pos="709"/>
          <w:tab w:val="left" w:pos="851"/>
        </w:tabs>
        <w:spacing w:line="276" w:lineRule="auto"/>
        <w:jc w:val="both"/>
        <w:rPr>
          <w:color w:val="000000" w:themeColor="text1"/>
          <w:sz w:val="22"/>
          <w:szCs w:val="22"/>
        </w:rPr>
      </w:pPr>
      <w:bookmarkStart w:id="3" w:name="_Hlk119931985"/>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A24DEA" w14:paraId="447D34AF" w14:textId="77777777" w:rsidTr="00A24DEA">
        <w:trPr>
          <w:cantSplit/>
          <w:trHeight w:val="227"/>
        </w:trPr>
        <w:tc>
          <w:tcPr>
            <w:tcW w:w="9639" w:type="dxa"/>
            <w:gridSpan w:val="10"/>
            <w:shd w:val="clear" w:color="auto" w:fill="B8CCE4" w:themeFill="accent1" w:themeFillTint="66"/>
            <w:vAlign w:val="center"/>
          </w:tcPr>
          <w:p w14:paraId="425A3A46" w14:textId="77777777" w:rsidR="00A24DEA" w:rsidRDefault="00A24DEA" w:rsidP="00A24DEA">
            <w:pPr>
              <w:pStyle w:val="Standard"/>
              <w:widowControl/>
              <w:tabs>
                <w:tab w:val="left" w:pos="-3186"/>
              </w:tabs>
              <w:jc w:val="center"/>
              <w:rPr>
                <w:rFonts w:ascii="Arial" w:eastAsia="Times New Roman" w:hAnsi="Arial" w:cs="Arial"/>
                <w:b/>
                <w:bCs/>
                <w:color w:val="000000"/>
                <w:sz w:val="16"/>
                <w:szCs w:val="16"/>
                <w:lang w:eastAsia="pt-BR"/>
              </w:rPr>
            </w:pPr>
          </w:p>
          <w:p w14:paraId="622B9002" w14:textId="77777777" w:rsidR="00E13941" w:rsidRDefault="00E13941" w:rsidP="00A24DEA">
            <w:pPr>
              <w:pStyle w:val="Standard"/>
              <w:widowControl/>
              <w:tabs>
                <w:tab w:val="left" w:pos="-3186"/>
              </w:tabs>
              <w:jc w:val="center"/>
              <w:rPr>
                <w:rFonts w:ascii="Arial" w:eastAsia="Times New Roman" w:hAnsi="Arial" w:cs="Arial"/>
                <w:b/>
                <w:bCs/>
                <w:color w:val="000000"/>
                <w:sz w:val="16"/>
                <w:szCs w:val="16"/>
                <w:lang w:eastAsia="pt-BR"/>
              </w:rPr>
            </w:pPr>
          </w:p>
          <w:p w14:paraId="4E34390B" w14:textId="1A7A556A" w:rsidR="00E13941" w:rsidRPr="008A5B5A" w:rsidRDefault="00E13941" w:rsidP="00A24DEA">
            <w:pPr>
              <w:pStyle w:val="Standard"/>
              <w:widowControl/>
              <w:tabs>
                <w:tab w:val="left" w:pos="-3186"/>
              </w:tabs>
              <w:jc w:val="center"/>
              <w:rPr>
                <w:rFonts w:ascii="Arial" w:eastAsia="Times New Roman" w:hAnsi="Arial" w:cs="Arial"/>
                <w:b/>
                <w:bCs/>
                <w:color w:val="000000"/>
                <w:sz w:val="16"/>
                <w:szCs w:val="16"/>
                <w:lang w:eastAsia="pt-BR"/>
              </w:rPr>
            </w:pPr>
          </w:p>
        </w:tc>
      </w:tr>
      <w:tr w:rsidR="00A24DEA" w14:paraId="2442D5A6" w14:textId="77777777" w:rsidTr="00A24DEA">
        <w:trPr>
          <w:cantSplit/>
          <w:trHeight w:val="1134"/>
        </w:trPr>
        <w:tc>
          <w:tcPr>
            <w:tcW w:w="506" w:type="dxa"/>
            <w:textDirection w:val="btLr"/>
            <w:vAlign w:val="center"/>
          </w:tcPr>
          <w:p w14:paraId="125B07AD" w14:textId="766069D6"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555056">
              <w:rPr>
                <w:rFonts w:ascii="Arial" w:eastAsia="Times New Roman" w:hAnsi="Arial" w:cs="Arial"/>
                <w:b/>
                <w:bCs/>
                <w:color w:val="000000"/>
                <w:sz w:val="16"/>
                <w:szCs w:val="16"/>
                <w:lang w:eastAsia="pt-BR"/>
              </w:rPr>
              <w:t>1</w:t>
            </w:r>
          </w:p>
        </w:tc>
        <w:tc>
          <w:tcPr>
            <w:tcW w:w="506" w:type="dxa"/>
            <w:textDirection w:val="btLr"/>
            <w:vAlign w:val="center"/>
          </w:tcPr>
          <w:p w14:paraId="4942331E"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0BAFD361" w14:textId="77777777" w:rsidR="00A24DEA" w:rsidRDefault="00A24DEA" w:rsidP="00A24DEA">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734CDCAB"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66BA814F"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1BFF90D6"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3664331D"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3D09C36A"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3A9A9838"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57CE6699" w14:textId="77777777" w:rsidR="00A24DEA" w:rsidRDefault="00A24DEA" w:rsidP="00A24DEA">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B6B54" w14:paraId="0F210C32" w14:textId="77777777" w:rsidTr="00FB6B54">
        <w:trPr>
          <w:cantSplit/>
          <w:trHeight w:val="283"/>
        </w:trPr>
        <w:tc>
          <w:tcPr>
            <w:tcW w:w="506" w:type="dxa"/>
            <w:vMerge w:val="restart"/>
            <w:textDirection w:val="btLr"/>
          </w:tcPr>
          <w:p w14:paraId="330B0185"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48461858" w14:textId="7677CFE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w:t>
            </w:r>
            <w:r w:rsidR="00BB7857">
              <w:rPr>
                <w:rFonts w:ascii="Arial" w:hAnsi="Arial" w:cs="Arial"/>
                <w:b/>
                <w:bCs/>
                <w:color w:val="000000" w:themeColor="text1"/>
                <w:sz w:val="16"/>
                <w:szCs w:val="22"/>
              </w:rPr>
              <w:t>1</w:t>
            </w:r>
            <w:r>
              <w:rPr>
                <w:rFonts w:ascii="Arial" w:hAnsi="Arial" w:cs="Arial"/>
                <w:b/>
                <w:bCs/>
                <w:color w:val="000000" w:themeColor="text1"/>
                <w:sz w:val="16"/>
                <w:szCs w:val="22"/>
              </w:rPr>
              <w:t>-</w:t>
            </w:r>
            <w:r w:rsidR="00BB7857">
              <w:rPr>
                <w:rFonts w:ascii="Arial" w:hAnsi="Arial" w:cs="Arial"/>
                <w:b/>
                <w:bCs/>
                <w:color w:val="000000" w:themeColor="text1"/>
                <w:sz w:val="16"/>
                <w:szCs w:val="22"/>
              </w:rPr>
              <w:t>318</w:t>
            </w:r>
          </w:p>
        </w:tc>
        <w:tc>
          <w:tcPr>
            <w:tcW w:w="506" w:type="dxa"/>
            <w:vMerge w:val="restart"/>
            <w:textDirection w:val="btLr"/>
          </w:tcPr>
          <w:p w14:paraId="4420B751" w14:textId="3891D342" w:rsidR="00FB6B54" w:rsidRPr="00DC40A7" w:rsidRDefault="00B879B2"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268411</w:t>
            </w:r>
          </w:p>
        </w:tc>
        <w:tc>
          <w:tcPr>
            <w:tcW w:w="1939" w:type="dxa"/>
            <w:vMerge w:val="restart"/>
            <w:vAlign w:val="center"/>
          </w:tcPr>
          <w:p w14:paraId="2C9C8862" w14:textId="77777777" w:rsidR="00B879B2" w:rsidRDefault="00B879B2" w:rsidP="00B879B2">
            <w:pPr>
              <w:pStyle w:val="Default"/>
              <w:jc w:val="center"/>
              <w:rPr>
                <w:sz w:val="18"/>
                <w:szCs w:val="18"/>
              </w:rPr>
            </w:pPr>
            <w:proofErr w:type="spellStart"/>
            <w:proofErr w:type="gramStart"/>
            <w:r>
              <w:rPr>
                <w:sz w:val="18"/>
                <w:szCs w:val="18"/>
              </w:rPr>
              <w:t>Cefotaxima</w:t>
            </w:r>
            <w:proofErr w:type="spellEnd"/>
            <w:r>
              <w:rPr>
                <w:sz w:val="18"/>
                <w:szCs w:val="18"/>
              </w:rPr>
              <w:t xml:space="preserve"> Sódica</w:t>
            </w:r>
            <w:proofErr w:type="gramEnd"/>
            <w:r>
              <w:rPr>
                <w:sz w:val="18"/>
                <w:szCs w:val="18"/>
              </w:rPr>
              <w:t xml:space="preserve">, 1 g, Pó para solução injetável, Frasco-ampola, VIA DE ADMINISTRAÇÃO: Intramuscular/Intravenosa, UNID. DE MEDIDA: Unitário </w:t>
            </w:r>
          </w:p>
          <w:p w14:paraId="362585FA" w14:textId="34A6DC10" w:rsidR="00FB6B54" w:rsidRPr="00CA229F" w:rsidRDefault="00FB6B54" w:rsidP="00FB6B54">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5891A2B5" w14:textId="2020BC3F" w:rsidR="00FB6B54" w:rsidRPr="00905AAD"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61BE041" w14:textId="29FF45D8"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55" w:type="dxa"/>
            <w:vAlign w:val="center"/>
          </w:tcPr>
          <w:p w14:paraId="56770A09" w14:textId="60888BE6"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981" w:type="dxa"/>
            <w:vMerge w:val="restart"/>
            <w:vAlign w:val="center"/>
          </w:tcPr>
          <w:p w14:paraId="47D353E3" w14:textId="007357A1" w:rsidR="00BB7857" w:rsidRDefault="00BB7857" w:rsidP="00FB6B54">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1.092</w:t>
            </w:r>
          </w:p>
          <w:p w14:paraId="2FC8CEBE" w14:textId="29AC089E" w:rsidR="00FB6B54" w:rsidRPr="00E86F16" w:rsidRDefault="00FB6B54" w:rsidP="00FB6B54">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45B00FD6" w14:textId="43E7AD01" w:rsidR="00FB6B54" w:rsidRPr="00865A09" w:rsidRDefault="00FB6B54" w:rsidP="00FB6B54">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0E5C6328" w14:textId="77777777" w:rsidR="00FB6B54" w:rsidRPr="00865A09" w:rsidRDefault="00FB6B54" w:rsidP="00FB6B54">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0954A3EA" w14:textId="5845A778"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3F37956B" w14:textId="77777777" w:rsidTr="00FB6B54">
        <w:trPr>
          <w:cantSplit/>
          <w:trHeight w:val="283"/>
        </w:trPr>
        <w:tc>
          <w:tcPr>
            <w:tcW w:w="506" w:type="dxa"/>
            <w:vMerge/>
            <w:textDirection w:val="btLr"/>
          </w:tcPr>
          <w:p w14:paraId="01DD98E2"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D3ECADA"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CF8E23D"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30C3538"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662973D" w14:textId="72F72C2F" w:rsidR="00FB6B54" w:rsidRPr="00905AAD"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32" w:type="dxa"/>
            <w:vAlign w:val="center"/>
          </w:tcPr>
          <w:p w14:paraId="5F50B63B" w14:textId="19C43DED"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55" w:type="dxa"/>
            <w:vAlign w:val="center"/>
          </w:tcPr>
          <w:p w14:paraId="366BE2AE" w14:textId="6FF81605"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981" w:type="dxa"/>
            <w:vMerge/>
            <w:vAlign w:val="center"/>
          </w:tcPr>
          <w:p w14:paraId="63E4009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F81A84"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151E1C7D" w14:textId="5C93B7E0"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71FF4EDE" w14:textId="77777777" w:rsidTr="00FB6B54">
        <w:trPr>
          <w:cantSplit/>
          <w:trHeight w:val="283"/>
        </w:trPr>
        <w:tc>
          <w:tcPr>
            <w:tcW w:w="506" w:type="dxa"/>
            <w:vMerge/>
            <w:textDirection w:val="btLr"/>
          </w:tcPr>
          <w:p w14:paraId="526BF19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21F8E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F9ABB3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E0DAD1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DB5F8FC" w14:textId="015527D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491DCD23" w14:textId="472C483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7539FA5" w14:textId="751DBCF0"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7E202DF1"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38F6ED0"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9AE992" w14:textId="272026B1"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FB6B54" w14:paraId="13594354" w14:textId="77777777" w:rsidTr="00FB6B54">
        <w:trPr>
          <w:cantSplit/>
          <w:trHeight w:val="283"/>
        </w:trPr>
        <w:tc>
          <w:tcPr>
            <w:tcW w:w="506" w:type="dxa"/>
            <w:vMerge/>
            <w:textDirection w:val="btLr"/>
          </w:tcPr>
          <w:p w14:paraId="6A8189C4"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68F0C6F"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8DCA4D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03AC8D86"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DBDF0C0" w14:textId="022968FC"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4AC9A986" w14:textId="3821631E"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579673A" w14:textId="6B4CD550"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D79E4FB"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8521A8C"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20D12A87" w14:textId="1A098502"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BB7857" w14:paraId="29192F04" w14:textId="77777777" w:rsidTr="004200CC">
        <w:trPr>
          <w:cantSplit/>
          <w:trHeight w:val="283"/>
        </w:trPr>
        <w:tc>
          <w:tcPr>
            <w:tcW w:w="506" w:type="dxa"/>
            <w:vMerge/>
            <w:textDirection w:val="btLr"/>
          </w:tcPr>
          <w:p w14:paraId="5DA4E3C0" w14:textId="77777777" w:rsidR="00BB7857" w:rsidRPr="00DC40A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9C22AD3"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8F18D9C"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5D272E9" w14:textId="77777777" w:rsidR="00BB7857" w:rsidRDefault="00BB7857" w:rsidP="00BB785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58F3B4C" w14:textId="5129D5AD"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14:paraId="02E2A6C2" w14:textId="18721BBB"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4C241347" w14:textId="0B085724" w:rsidR="00BB7857" w:rsidRPr="00E86F16"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1F046A7B" w14:textId="77777777" w:rsidR="00BB7857" w:rsidRDefault="00BB7857" w:rsidP="00BB7857">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775B971" w14:textId="77777777" w:rsidR="00BB7857" w:rsidRPr="00865A09" w:rsidRDefault="00BB7857" w:rsidP="00BB7857">
            <w:pPr>
              <w:spacing w:after="0" w:line="240" w:lineRule="auto"/>
              <w:jc w:val="center"/>
              <w:rPr>
                <w:rFonts w:ascii="Arial" w:hAnsi="Arial" w:cs="Arial"/>
                <w:b/>
                <w:bCs/>
                <w:sz w:val="16"/>
              </w:rPr>
            </w:pPr>
          </w:p>
        </w:tc>
        <w:tc>
          <w:tcPr>
            <w:tcW w:w="1176" w:type="dxa"/>
          </w:tcPr>
          <w:p w14:paraId="4A57E5D6" w14:textId="357BF61F" w:rsidR="00BB7857" w:rsidRPr="0078606D" w:rsidRDefault="00BB7857" w:rsidP="00BB7857">
            <w:pPr>
              <w:spacing w:after="0" w:line="240" w:lineRule="auto"/>
              <w:rPr>
                <w:rFonts w:ascii="Arial" w:hAnsi="Arial" w:cs="Arial"/>
                <w:b/>
                <w:bCs/>
                <w:sz w:val="16"/>
                <w:szCs w:val="16"/>
              </w:rPr>
            </w:pPr>
            <w:r w:rsidRPr="00E22087">
              <w:rPr>
                <w:rFonts w:ascii="Arial" w:hAnsi="Arial" w:cs="Arial"/>
                <w:b/>
                <w:bCs/>
                <w:sz w:val="16"/>
                <w:szCs w:val="16"/>
              </w:rPr>
              <w:t>R$</w:t>
            </w:r>
          </w:p>
        </w:tc>
      </w:tr>
      <w:tr w:rsidR="00BB7857" w14:paraId="60A35017" w14:textId="77777777" w:rsidTr="004200CC">
        <w:trPr>
          <w:cantSplit/>
          <w:trHeight w:val="283"/>
        </w:trPr>
        <w:tc>
          <w:tcPr>
            <w:tcW w:w="506" w:type="dxa"/>
            <w:vMerge/>
            <w:textDirection w:val="btLr"/>
          </w:tcPr>
          <w:p w14:paraId="79705B11" w14:textId="77777777" w:rsidR="00BB7857" w:rsidRPr="00DC40A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6629528"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F0114A4" w14:textId="77777777" w:rsidR="00BB7857" w:rsidRDefault="00BB7857" w:rsidP="00BB785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781D41D" w14:textId="77777777" w:rsidR="00BB7857" w:rsidRDefault="00BB7857" w:rsidP="00BB7857">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AB30BD0" w14:textId="3F2AD7E6"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32" w:type="dxa"/>
            <w:vAlign w:val="center"/>
          </w:tcPr>
          <w:p w14:paraId="71D91C00" w14:textId="1C92CB66" w:rsidR="00BB7857"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1142C5A" w14:textId="5DE07FAB" w:rsidR="00BB7857" w:rsidRPr="00E86F16" w:rsidRDefault="00BB7857" w:rsidP="00BB7857">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6DF65860" w14:textId="77777777" w:rsidR="00BB7857" w:rsidRDefault="00BB7857" w:rsidP="00BB7857">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EA9595B" w14:textId="77777777" w:rsidR="00BB7857" w:rsidRPr="00865A09" w:rsidRDefault="00BB7857" w:rsidP="00BB7857">
            <w:pPr>
              <w:spacing w:after="0" w:line="240" w:lineRule="auto"/>
              <w:jc w:val="center"/>
              <w:rPr>
                <w:rFonts w:ascii="Arial" w:hAnsi="Arial" w:cs="Arial"/>
                <w:b/>
                <w:bCs/>
                <w:sz w:val="16"/>
              </w:rPr>
            </w:pPr>
          </w:p>
        </w:tc>
        <w:tc>
          <w:tcPr>
            <w:tcW w:w="1176" w:type="dxa"/>
          </w:tcPr>
          <w:p w14:paraId="61D5C2E9" w14:textId="6F9DC9EB" w:rsidR="00BB7857" w:rsidRPr="0078606D" w:rsidRDefault="00BB7857" w:rsidP="00BB7857">
            <w:pPr>
              <w:spacing w:after="0" w:line="240" w:lineRule="auto"/>
              <w:rPr>
                <w:rFonts w:ascii="Arial" w:hAnsi="Arial" w:cs="Arial"/>
                <w:b/>
                <w:bCs/>
                <w:sz w:val="16"/>
                <w:szCs w:val="16"/>
              </w:rPr>
            </w:pPr>
            <w:r w:rsidRPr="00E22087">
              <w:rPr>
                <w:rFonts w:ascii="Arial" w:hAnsi="Arial" w:cs="Arial"/>
                <w:b/>
                <w:bCs/>
                <w:sz w:val="16"/>
                <w:szCs w:val="16"/>
              </w:rPr>
              <w:t>R$</w:t>
            </w:r>
          </w:p>
        </w:tc>
      </w:tr>
      <w:tr w:rsidR="00FB6B54" w14:paraId="132C0E76" w14:textId="77777777" w:rsidTr="00FB6B54">
        <w:trPr>
          <w:cantSplit/>
          <w:trHeight w:val="283"/>
        </w:trPr>
        <w:tc>
          <w:tcPr>
            <w:tcW w:w="506" w:type="dxa"/>
            <w:vMerge/>
            <w:textDirection w:val="btLr"/>
          </w:tcPr>
          <w:p w14:paraId="6278AF87" w14:textId="77777777" w:rsidR="00FB6B54" w:rsidRPr="00DC40A7"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AF2A8DB"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A44B917" w14:textId="77777777" w:rsidR="00FB6B54" w:rsidRDefault="00FB6B54" w:rsidP="00FB6B5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97D97E7" w14:textId="77777777" w:rsidR="00FB6B54" w:rsidRDefault="00FB6B54" w:rsidP="00FB6B54">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23925A7" w14:textId="4E65F8B0"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65663C00" w14:textId="642F6FE6" w:rsidR="00FB6B54"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E18BF05" w14:textId="61AFA078" w:rsidR="00FB6B54" w:rsidRPr="00E86F16" w:rsidRDefault="00BB7857" w:rsidP="00FB6B54">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14:paraId="3664E654" w14:textId="77777777" w:rsidR="00FB6B54" w:rsidRDefault="00FB6B54" w:rsidP="00FB6B54">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7E4F13E" w14:textId="77777777" w:rsidR="00FB6B54" w:rsidRPr="00865A09" w:rsidRDefault="00FB6B54" w:rsidP="00FB6B54">
            <w:pPr>
              <w:spacing w:after="0" w:line="240" w:lineRule="auto"/>
              <w:jc w:val="center"/>
              <w:rPr>
                <w:rFonts w:ascii="Arial" w:hAnsi="Arial" w:cs="Arial"/>
                <w:b/>
                <w:bCs/>
                <w:sz w:val="16"/>
              </w:rPr>
            </w:pPr>
          </w:p>
        </w:tc>
        <w:tc>
          <w:tcPr>
            <w:tcW w:w="1176" w:type="dxa"/>
            <w:vAlign w:val="center"/>
          </w:tcPr>
          <w:p w14:paraId="0507B15E" w14:textId="1496FA1A" w:rsidR="00FB6B54" w:rsidRPr="00865A09" w:rsidRDefault="00FB6B54" w:rsidP="00FB6B54">
            <w:pPr>
              <w:spacing w:after="0" w:line="240" w:lineRule="auto"/>
              <w:rPr>
                <w:rFonts w:ascii="Arial" w:hAnsi="Arial" w:cs="Arial"/>
                <w:sz w:val="16"/>
              </w:rPr>
            </w:pPr>
            <w:r w:rsidRPr="0078606D">
              <w:rPr>
                <w:rFonts w:ascii="Arial" w:hAnsi="Arial" w:cs="Arial"/>
                <w:b/>
                <w:bCs/>
                <w:sz w:val="16"/>
                <w:szCs w:val="16"/>
              </w:rPr>
              <w:t>R$</w:t>
            </w:r>
          </w:p>
        </w:tc>
      </w:tr>
      <w:tr w:rsidR="00A24DEA" w14:paraId="6618869F" w14:textId="77777777" w:rsidTr="00A24DEA">
        <w:tc>
          <w:tcPr>
            <w:tcW w:w="7429" w:type="dxa"/>
            <w:gridSpan w:val="8"/>
          </w:tcPr>
          <w:p w14:paraId="1C3377E5" w14:textId="77777777" w:rsidR="00A24DEA" w:rsidRPr="00303A73" w:rsidRDefault="00A24DEA" w:rsidP="00A24DEA">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7D8B5A6A" w14:textId="6CC7B13F" w:rsidR="00A24DEA" w:rsidRPr="008B25BB" w:rsidRDefault="00A24DEA" w:rsidP="00A24DEA">
            <w:pPr>
              <w:spacing w:after="0"/>
              <w:jc w:val="both"/>
              <w:rPr>
                <w:rFonts w:cs="Arial"/>
                <w:b/>
                <w:bCs/>
                <w:lang w:eastAsia="pt-BR"/>
              </w:rPr>
            </w:pPr>
            <w:r>
              <w:rPr>
                <w:rFonts w:cs="Arial"/>
                <w:b/>
                <w:bCs/>
              </w:rPr>
              <w:t xml:space="preserve">R$ </w:t>
            </w:r>
          </w:p>
        </w:tc>
      </w:tr>
    </w:tbl>
    <w:p w14:paraId="13C67073" w14:textId="4281E2BD" w:rsidR="00E45FCD" w:rsidRDefault="00E45FCD" w:rsidP="00E45FCD">
      <w:pPr>
        <w:pStyle w:val="Standard"/>
        <w:widowControl/>
        <w:tabs>
          <w:tab w:val="left" w:pos="-3186"/>
        </w:tabs>
        <w:jc w:val="both"/>
        <w:rPr>
          <w:rFonts w:ascii="Arial" w:eastAsia="Calibri" w:hAnsi="Arial" w:cs="Arial"/>
          <w:color w:val="000000" w:themeColor="text1"/>
          <w:kern w:val="1"/>
          <w:sz w:val="22"/>
          <w:szCs w:val="22"/>
          <w:lang w:eastAsia="ar-SA" w:bidi="ar-SA"/>
        </w:rPr>
      </w:pPr>
    </w:p>
    <w:p w14:paraId="0BE43EEF" w14:textId="4E4F1B3C" w:rsidR="004A691A" w:rsidRDefault="004A691A"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658E32B6" w14:textId="77777777" w:rsidTr="00C5448D">
        <w:trPr>
          <w:cantSplit/>
          <w:trHeight w:val="227"/>
        </w:trPr>
        <w:tc>
          <w:tcPr>
            <w:tcW w:w="9639" w:type="dxa"/>
            <w:gridSpan w:val="10"/>
            <w:shd w:val="clear" w:color="auto" w:fill="B8CCE4" w:themeFill="accent1" w:themeFillTint="66"/>
            <w:vAlign w:val="center"/>
          </w:tcPr>
          <w:p w14:paraId="503C1573"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729E3467"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26494FFC" w14:textId="2C0FBBA3"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0816D106" w14:textId="77777777" w:rsidTr="00C5448D">
        <w:trPr>
          <w:cantSplit/>
          <w:trHeight w:val="1134"/>
        </w:trPr>
        <w:tc>
          <w:tcPr>
            <w:tcW w:w="506" w:type="dxa"/>
            <w:textDirection w:val="btLr"/>
            <w:vAlign w:val="center"/>
          </w:tcPr>
          <w:p w14:paraId="1B3C6ADA" w14:textId="4BCB0DEE"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2</w:t>
            </w:r>
          </w:p>
        </w:tc>
        <w:tc>
          <w:tcPr>
            <w:tcW w:w="506" w:type="dxa"/>
            <w:textDirection w:val="btLr"/>
            <w:vAlign w:val="center"/>
          </w:tcPr>
          <w:p w14:paraId="77DBF4E6"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4C4F153D"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10EE9E67"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2D3F95B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7B5F14BF"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09ABD4FB"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201662C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15D710C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76AA8E0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20673159" w14:textId="77777777" w:rsidTr="004200CC">
        <w:trPr>
          <w:cantSplit/>
          <w:trHeight w:hRule="exact" w:val="454"/>
        </w:trPr>
        <w:tc>
          <w:tcPr>
            <w:tcW w:w="506" w:type="dxa"/>
            <w:vMerge w:val="restart"/>
            <w:textDirection w:val="btLr"/>
          </w:tcPr>
          <w:p w14:paraId="6E5D950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172B93E0" w14:textId="3906C236" w:rsidR="00C5448D" w:rsidRPr="00DC40A7" w:rsidRDefault="004200CC"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6501-325</w:t>
            </w:r>
          </w:p>
        </w:tc>
        <w:tc>
          <w:tcPr>
            <w:tcW w:w="506" w:type="dxa"/>
            <w:vMerge w:val="restart"/>
            <w:textDirection w:val="btLr"/>
          </w:tcPr>
          <w:p w14:paraId="7DD4B9EF" w14:textId="449C24AC" w:rsidR="00C5448D" w:rsidRPr="00DC40A7" w:rsidRDefault="004200CC"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271103</w:t>
            </w:r>
          </w:p>
        </w:tc>
        <w:tc>
          <w:tcPr>
            <w:tcW w:w="1939" w:type="dxa"/>
            <w:vMerge w:val="restart"/>
            <w:vAlign w:val="center"/>
          </w:tcPr>
          <w:p w14:paraId="6EF511B9" w14:textId="77777777" w:rsidR="004200CC" w:rsidRDefault="004200CC" w:rsidP="004200CC">
            <w:pPr>
              <w:pStyle w:val="Default"/>
              <w:jc w:val="center"/>
              <w:rPr>
                <w:sz w:val="18"/>
                <w:szCs w:val="18"/>
              </w:rPr>
            </w:pPr>
            <w:r>
              <w:rPr>
                <w:sz w:val="18"/>
                <w:szCs w:val="18"/>
              </w:rPr>
              <w:t xml:space="preserve">Cetoconazol, 20 mg/g (2%), Xampu, Frasco, 100 ml, VIA DE ADMINISTRAÇÃO: Tópica, UNID. DE MEDIDA: Unitário </w:t>
            </w:r>
          </w:p>
          <w:p w14:paraId="64EE038D" w14:textId="77777777" w:rsidR="00C5448D" w:rsidRPr="00CA229F" w:rsidRDefault="00C5448D" w:rsidP="00C5448D">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1A0B30A3" w14:textId="2E1BBDEC" w:rsidR="00C5448D" w:rsidRPr="00905AA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 xml:space="preserve">CPPI </w:t>
            </w:r>
          </w:p>
        </w:tc>
        <w:tc>
          <w:tcPr>
            <w:tcW w:w="732" w:type="dxa"/>
            <w:vAlign w:val="center"/>
          </w:tcPr>
          <w:p w14:paraId="3A558CB8" w14:textId="01601E33"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955" w:type="dxa"/>
            <w:vAlign w:val="center"/>
          </w:tcPr>
          <w:p w14:paraId="7F044ED3" w14:textId="7517E2CE"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981" w:type="dxa"/>
            <w:vMerge w:val="restart"/>
            <w:vAlign w:val="center"/>
          </w:tcPr>
          <w:p w14:paraId="0D3C68C5" w14:textId="5955F683" w:rsidR="004200CC" w:rsidRDefault="004200CC"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402</w:t>
            </w:r>
          </w:p>
          <w:p w14:paraId="6350E8A4" w14:textId="6B614261"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 xml:space="preserve"> UNID.</w:t>
            </w:r>
          </w:p>
        </w:tc>
        <w:tc>
          <w:tcPr>
            <w:tcW w:w="1034" w:type="dxa"/>
            <w:vMerge w:val="restart"/>
            <w:vAlign w:val="center"/>
          </w:tcPr>
          <w:p w14:paraId="31F9BC50"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54BA0FA5"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00F70AD5"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34839604" w14:textId="77777777" w:rsidTr="004200CC">
        <w:trPr>
          <w:cantSplit/>
          <w:trHeight w:hRule="exact" w:val="454"/>
        </w:trPr>
        <w:tc>
          <w:tcPr>
            <w:tcW w:w="506" w:type="dxa"/>
            <w:vMerge/>
            <w:textDirection w:val="btLr"/>
          </w:tcPr>
          <w:p w14:paraId="31DCDE01"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13D93F6"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261FA0E"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3C2B753"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FFFDCBF" w14:textId="3FDE2FB9" w:rsidR="00C5448D" w:rsidRPr="00905AA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5C44CF2" w14:textId="4EC5A37D"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6C8DDA5" w14:textId="2D1481FC"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14:paraId="52EBD4D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51040A"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B14B580"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50D52B8A" w14:textId="77777777" w:rsidTr="004200CC">
        <w:trPr>
          <w:cantSplit/>
          <w:trHeight w:hRule="exact" w:val="454"/>
        </w:trPr>
        <w:tc>
          <w:tcPr>
            <w:tcW w:w="506" w:type="dxa"/>
            <w:vMerge/>
            <w:textDirection w:val="btLr"/>
          </w:tcPr>
          <w:p w14:paraId="371ED8DE"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5728614"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58E8769"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7ED67F7"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9BA37A2" w14:textId="72A70F15"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77F537EF" w14:textId="081FC32C"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156FD638" w14:textId="445CF995"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E79E8B3"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5E10A5F"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557B55B"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F32B510" w14:textId="77777777" w:rsidTr="004200CC">
        <w:trPr>
          <w:cantSplit/>
          <w:trHeight w:hRule="exact" w:val="454"/>
        </w:trPr>
        <w:tc>
          <w:tcPr>
            <w:tcW w:w="506" w:type="dxa"/>
            <w:vMerge/>
            <w:textDirection w:val="btLr"/>
          </w:tcPr>
          <w:p w14:paraId="1CF431E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F2B9D3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73C5F6B"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2254411"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AB122DA" w14:textId="3C0950F3"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14:paraId="78930DDD" w14:textId="1EE1FDC6" w:rsidR="00C5448D"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14:paraId="3C87BD1D" w14:textId="44BB9573" w:rsidR="00C5448D" w:rsidRPr="00E86F16" w:rsidRDefault="004200CC"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14:paraId="3E6ED5AE"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D084D60"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28D3B90"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6EE715EE" w14:textId="77777777" w:rsidTr="00C5448D">
        <w:tc>
          <w:tcPr>
            <w:tcW w:w="7429" w:type="dxa"/>
            <w:gridSpan w:val="8"/>
          </w:tcPr>
          <w:p w14:paraId="5914B85C"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0AF1877A" w14:textId="77777777" w:rsidR="00C5448D" w:rsidRPr="008B25BB" w:rsidRDefault="00C5448D" w:rsidP="00C5448D">
            <w:pPr>
              <w:spacing w:after="0"/>
              <w:jc w:val="both"/>
              <w:rPr>
                <w:rFonts w:cs="Arial"/>
                <w:b/>
                <w:bCs/>
                <w:lang w:eastAsia="pt-BR"/>
              </w:rPr>
            </w:pPr>
            <w:r>
              <w:rPr>
                <w:rFonts w:cs="Arial"/>
                <w:b/>
                <w:bCs/>
              </w:rPr>
              <w:t xml:space="preserve">R$ </w:t>
            </w:r>
          </w:p>
        </w:tc>
      </w:tr>
    </w:tbl>
    <w:p w14:paraId="4BD4A06B" w14:textId="7F40FF31" w:rsidR="004A691A" w:rsidRDefault="004A691A" w:rsidP="00E45FCD">
      <w:pPr>
        <w:pStyle w:val="Standard"/>
        <w:widowControl/>
        <w:tabs>
          <w:tab w:val="left" w:pos="-3186"/>
        </w:tabs>
        <w:jc w:val="both"/>
        <w:rPr>
          <w:rFonts w:ascii="Arial" w:eastAsia="Times New Roman" w:hAnsi="Arial" w:cs="Arial"/>
          <w:b/>
          <w:bCs/>
          <w:color w:val="000000"/>
          <w:sz w:val="16"/>
          <w:szCs w:val="16"/>
          <w:lang w:eastAsia="pt-BR"/>
        </w:rPr>
      </w:pPr>
    </w:p>
    <w:p w14:paraId="7B8AEEA3" w14:textId="1BF1DC87"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28A5DD85" w14:textId="7E2FECD0"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0F9CDBEE" w14:textId="0FADF063"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1EEBBEEA" w14:textId="5507CC48"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2734C59E" w14:textId="2E8E019C"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18E094E4" w14:textId="7ABCB2C9"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p w14:paraId="3423BF8F" w14:textId="77777777" w:rsidR="00C7073F" w:rsidRDefault="00C7073F"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0B010CF7" w14:textId="77777777" w:rsidTr="00C5448D">
        <w:trPr>
          <w:cantSplit/>
          <w:trHeight w:val="227"/>
        </w:trPr>
        <w:tc>
          <w:tcPr>
            <w:tcW w:w="9639" w:type="dxa"/>
            <w:gridSpan w:val="10"/>
            <w:shd w:val="clear" w:color="auto" w:fill="B8CCE4" w:themeFill="accent1" w:themeFillTint="66"/>
            <w:vAlign w:val="center"/>
          </w:tcPr>
          <w:p w14:paraId="63FF6CB5"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1719BE04"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324137A9" w14:textId="58FA5849"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01983E5B" w14:textId="77777777" w:rsidTr="00C5448D">
        <w:trPr>
          <w:cantSplit/>
          <w:trHeight w:val="1134"/>
        </w:trPr>
        <w:tc>
          <w:tcPr>
            <w:tcW w:w="506" w:type="dxa"/>
            <w:textDirection w:val="btLr"/>
            <w:vAlign w:val="center"/>
          </w:tcPr>
          <w:p w14:paraId="425B068B" w14:textId="4C764EBB"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3</w:t>
            </w:r>
          </w:p>
        </w:tc>
        <w:tc>
          <w:tcPr>
            <w:tcW w:w="506" w:type="dxa"/>
            <w:textDirection w:val="btLr"/>
            <w:vAlign w:val="center"/>
          </w:tcPr>
          <w:p w14:paraId="3916DFC8"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D93DAF7"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6C44115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0A5B229C"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654B7E08"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1C2EDE1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4D09C788"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0B387D5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112CDFF4"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1F86CD01" w14:textId="77777777" w:rsidTr="00C5448D">
        <w:trPr>
          <w:cantSplit/>
          <w:trHeight w:val="283"/>
        </w:trPr>
        <w:tc>
          <w:tcPr>
            <w:tcW w:w="506" w:type="dxa"/>
            <w:vMerge w:val="restart"/>
            <w:textDirection w:val="btLr"/>
          </w:tcPr>
          <w:p w14:paraId="489CCAB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42192439" w14:textId="4909C7EA" w:rsidR="00C5448D" w:rsidRPr="00DC40A7" w:rsidRDefault="00C7073F"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6501-3799</w:t>
            </w:r>
          </w:p>
        </w:tc>
        <w:tc>
          <w:tcPr>
            <w:tcW w:w="506" w:type="dxa"/>
            <w:vMerge w:val="restart"/>
            <w:textDirection w:val="btLr"/>
          </w:tcPr>
          <w:p w14:paraId="598F72ED" w14:textId="1A59CF2A" w:rsidR="00C5448D" w:rsidRPr="00DC40A7" w:rsidRDefault="00C7073F"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331158</w:t>
            </w:r>
          </w:p>
        </w:tc>
        <w:tc>
          <w:tcPr>
            <w:tcW w:w="1939" w:type="dxa"/>
            <w:vMerge w:val="restart"/>
            <w:vAlign w:val="center"/>
          </w:tcPr>
          <w:p w14:paraId="6F38CE3A" w14:textId="2F5F457B" w:rsidR="00C5448D" w:rsidRPr="00C7073F" w:rsidRDefault="00C7073F" w:rsidP="00C7073F">
            <w:pPr>
              <w:pStyle w:val="Default"/>
              <w:jc w:val="center"/>
              <w:rPr>
                <w:sz w:val="18"/>
                <w:szCs w:val="18"/>
              </w:rPr>
            </w:pPr>
            <w:proofErr w:type="spellStart"/>
            <w:r>
              <w:rPr>
                <w:sz w:val="18"/>
                <w:szCs w:val="18"/>
              </w:rPr>
              <w:t>Ciprofloxacino</w:t>
            </w:r>
            <w:proofErr w:type="spellEnd"/>
            <w:r>
              <w:rPr>
                <w:sz w:val="18"/>
                <w:szCs w:val="18"/>
              </w:rPr>
              <w:t xml:space="preserve">, </w:t>
            </w:r>
            <w:proofErr w:type="gramStart"/>
            <w:r>
              <w:rPr>
                <w:sz w:val="18"/>
                <w:szCs w:val="18"/>
              </w:rPr>
              <w:t>cloridrato ,</w:t>
            </w:r>
            <w:proofErr w:type="gramEnd"/>
            <w:r>
              <w:rPr>
                <w:sz w:val="18"/>
                <w:szCs w:val="18"/>
              </w:rPr>
              <w:t xml:space="preserve"> 3,5 mg/ml , Solução oftálmica, Frasco gotejador, 5 ml, VIA DE ADMINISTRAÇÃO: Oftálmica, UNID. DE MEDIDA: Unitário </w:t>
            </w:r>
          </w:p>
        </w:tc>
        <w:tc>
          <w:tcPr>
            <w:tcW w:w="1304" w:type="dxa"/>
            <w:vAlign w:val="center"/>
          </w:tcPr>
          <w:p w14:paraId="714C88FE" w14:textId="2E95439E"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20307747" w14:textId="2343B338"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7E5CB422" w14:textId="7C35F3CD"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restart"/>
            <w:vAlign w:val="center"/>
          </w:tcPr>
          <w:p w14:paraId="343632A8" w14:textId="218D2EDA" w:rsidR="00C7073F" w:rsidRDefault="00C7073F"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114</w:t>
            </w:r>
          </w:p>
          <w:p w14:paraId="45777848" w14:textId="026D3FD3"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134E4CC8"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3DE45A57"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7C6A9298"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6072DE64" w14:textId="77777777" w:rsidTr="00C5448D">
        <w:trPr>
          <w:cantSplit/>
          <w:trHeight w:val="283"/>
        </w:trPr>
        <w:tc>
          <w:tcPr>
            <w:tcW w:w="506" w:type="dxa"/>
            <w:vMerge/>
            <w:textDirection w:val="btLr"/>
          </w:tcPr>
          <w:p w14:paraId="1173558A"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0A54F20"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30D936B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816191A"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2CDBA83" w14:textId="55DE082B"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4978F2AE" w14:textId="2E6858EB"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4002D4CD" w14:textId="201E15F5"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14:paraId="47AAA34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846965C"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70330C5"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BEA8CD5" w14:textId="77777777" w:rsidTr="00C5448D">
        <w:trPr>
          <w:cantSplit/>
          <w:trHeight w:val="283"/>
        </w:trPr>
        <w:tc>
          <w:tcPr>
            <w:tcW w:w="506" w:type="dxa"/>
            <w:vMerge/>
            <w:textDirection w:val="btLr"/>
          </w:tcPr>
          <w:p w14:paraId="31CA8097"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0B3E7AA"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0CB312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1E2ABC68"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88A9D92" w14:textId="22B9B509"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14:paraId="28CBE84C" w14:textId="3C7AEADF"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319B618F" w14:textId="6CD0FE1E"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14:paraId="30FA7C6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483198B"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4779DBA"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7073F" w14:paraId="6DE3382F" w14:textId="77777777" w:rsidTr="006B2006">
        <w:trPr>
          <w:cantSplit/>
          <w:trHeight w:val="283"/>
        </w:trPr>
        <w:tc>
          <w:tcPr>
            <w:tcW w:w="506" w:type="dxa"/>
            <w:vMerge/>
            <w:textDirection w:val="btLr"/>
          </w:tcPr>
          <w:p w14:paraId="03D96D3D"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74062C6"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C1A26D1"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624FCE14"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AA1D146" w14:textId="136F1E8A"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14:paraId="1CE63583" w14:textId="28CB3CB7"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14:paraId="469F9637" w14:textId="43541143"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3529B96"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327C101"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7241269" w14:textId="07AEA7C2"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52837968" w14:textId="77777777" w:rsidTr="006B2006">
        <w:trPr>
          <w:cantSplit/>
          <w:trHeight w:val="283"/>
        </w:trPr>
        <w:tc>
          <w:tcPr>
            <w:tcW w:w="506" w:type="dxa"/>
            <w:vMerge/>
            <w:textDirection w:val="btLr"/>
          </w:tcPr>
          <w:p w14:paraId="604179FB"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AF175C3"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C3FA30A"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205E9160"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66FBC213" w14:textId="0E4C2A3C"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32" w:type="dxa"/>
            <w:vAlign w:val="center"/>
          </w:tcPr>
          <w:p w14:paraId="63514790" w14:textId="48E8B1E0"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40335866" w14:textId="771DE89C"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CD308EA"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709B3E7"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A4775EA" w14:textId="52667D04"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11736341" w14:textId="77777777" w:rsidTr="006B2006">
        <w:trPr>
          <w:cantSplit/>
          <w:trHeight w:val="283"/>
        </w:trPr>
        <w:tc>
          <w:tcPr>
            <w:tcW w:w="506" w:type="dxa"/>
            <w:vMerge/>
            <w:textDirection w:val="btLr"/>
          </w:tcPr>
          <w:p w14:paraId="46089C3D"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535EB2EA"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7302A447"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47653FDD"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24FD5BC" w14:textId="3BF9BB82"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14:paraId="1BC7359C" w14:textId="78EE93BC"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446070DF" w14:textId="0EFB5B79"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42D6F4A0"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B738141" w14:textId="77777777" w:rsidR="00C7073F" w:rsidRPr="00865A09" w:rsidRDefault="00C7073F" w:rsidP="00C7073F">
            <w:pPr>
              <w:spacing w:after="0" w:line="240" w:lineRule="auto"/>
              <w:jc w:val="center"/>
              <w:rPr>
                <w:rFonts w:ascii="Arial" w:hAnsi="Arial" w:cs="Arial"/>
                <w:b/>
                <w:bCs/>
                <w:sz w:val="16"/>
              </w:rPr>
            </w:pPr>
          </w:p>
        </w:tc>
        <w:tc>
          <w:tcPr>
            <w:tcW w:w="1176" w:type="dxa"/>
          </w:tcPr>
          <w:p w14:paraId="2932805E" w14:textId="40D6DD7E"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7073F" w14:paraId="4E34A6DE" w14:textId="77777777" w:rsidTr="006B2006">
        <w:trPr>
          <w:cantSplit/>
          <w:trHeight w:val="283"/>
        </w:trPr>
        <w:tc>
          <w:tcPr>
            <w:tcW w:w="506" w:type="dxa"/>
            <w:vMerge/>
            <w:textDirection w:val="btLr"/>
          </w:tcPr>
          <w:p w14:paraId="120D133C" w14:textId="77777777" w:rsidR="00C7073F" w:rsidRPr="00DC40A7"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AA79979"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AB78509" w14:textId="77777777" w:rsidR="00C7073F" w:rsidRDefault="00C7073F" w:rsidP="00C7073F">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D776815" w14:textId="77777777" w:rsidR="00C7073F" w:rsidRDefault="00C7073F" w:rsidP="00C7073F">
            <w:pPr>
              <w:pStyle w:val="Standard"/>
              <w:widowControl/>
              <w:tabs>
                <w:tab w:val="left" w:pos="-3186"/>
              </w:tabs>
              <w:jc w:val="center"/>
              <w:rPr>
                <w:rFonts w:ascii="docs-Roboto" w:hAnsi="docs-Roboto" w:hint="eastAsia"/>
                <w:color w:val="000000"/>
                <w:sz w:val="18"/>
                <w:szCs w:val="18"/>
              </w:rPr>
            </w:pPr>
          </w:p>
        </w:tc>
        <w:tc>
          <w:tcPr>
            <w:tcW w:w="1304" w:type="dxa"/>
            <w:vAlign w:val="center"/>
          </w:tcPr>
          <w:p w14:paraId="48E0E836" w14:textId="14E80A1A"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732" w:type="dxa"/>
            <w:vAlign w:val="center"/>
          </w:tcPr>
          <w:p w14:paraId="77393FBF" w14:textId="55450BF9" w:rsidR="00C7073F"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6A4F844F" w14:textId="4718BE39" w:rsidR="00C7073F" w:rsidRPr="00E86F16" w:rsidRDefault="00C54EDB" w:rsidP="00C7073F">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0793C9B5" w14:textId="77777777" w:rsidR="00C7073F" w:rsidRDefault="00C7073F" w:rsidP="00C7073F">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BADD3A9" w14:textId="77777777" w:rsidR="00C7073F" w:rsidRPr="00865A09" w:rsidRDefault="00C7073F" w:rsidP="00C7073F">
            <w:pPr>
              <w:spacing w:after="0" w:line="240" w:lineRule="auto"/>
              <w:jc w:val="center"/>
              <w:rPr>
                <w:rFonts w:ascii="Arial" w:hAnsi="Arial" w:cs="Arial"/>
                <w:b/>
                <w:bCs/>
                <w:sz w:val="16"/>
              </w:rPr>
            </w:pPr>
          </w:p>
        </w:tc>
        <w:tc>
          <w:tcPr>
            <w:tcW w:w="1176" w:type="dxa"/>
          </w:tcPr>
          <w:p w14:paraId="669DC8FE" w14:textId="0DFBF8DA" w:rsidR="00C7073F" w:rsidRPr="0078606D" w:rsidRDefault="00C7073F" w:rsidP="00C7073F">
            <w:pPr>
              <w:spacing w:after="0" w:line="240" w:lineRule="auto"/>
              <w:rPr>
                <w:rFonts w:ascii="Arial" w:hAnsi="Arial" w:cs="Arial"/>
                <w:b/>
                <w:bCs/>
                <w:sz w:val="16"/>
                <w:szCs w:val="16"/>
              </w:rPr>
            </w:pPr>
            <w:r w:rsidRPr="005579B7">
              <w:rPr>
                <w:rFonts w:ascii="Arial" w:hAnsi="Arial" w:cs="Arial"/>
                <w:b/>
                <w:bCs/>
                <w:sz w:val="16"/>
                <w:szCs w:val="16"/>
              </w:rPr>
              <w:t>R$</w:t>
            </w:r>
          </w:p>
        </w:tc>
      </w:tr>
      <w:tr w:rsidR="00C5448D" w14:paraId="0C680BE7" w14:textId="77777777" w:rsidTr="00C5448D">
        <w:trPr>
          <w:cantSplit/>
          <w:trHeight w:val="283"/>
        </w:trPr>
        <w:tc>
          <w:tcPr>
            <w:tcW w:w="506" w:type="dxa"/>
            <w:vMerge/>
            <w:textDirection w:val="btLr"/>
          </w:tcPr>
          <w:p w14:paraId="7029C448"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0D5BF692"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C0EEE9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03E50A5B"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04CAE834" w14:textId="2C04AABF"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14:paraId="773ACDA2" w14:textId="13CA6D47"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25EFA947" w14:textId="791E9B42"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763DD225"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CB3CEFA"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59181846"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1AC16653" w14:textId="77777777" w:rsidTr="00C5448D">
        <w:trPr>
          <w:cantSplit/>
          <w:trHeight w:val="283"/>
        </w:trPr>
        <w:tc>
          <w:tcPr>
            <w:tcW w:w="506" w:type="dxa"/>
            <w:vMerge/>
            <w:textDirection w:val="btLr"/>
          </w:tcPr>
          <w:p w14:paraId="0E9D4190"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41E8DDF8"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D9856D3"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7847AD6C"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0D50117" w14:textId="5644929C"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14:paraId="3697CF1C" w14:textId="3C5F70A6"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14:paraId="78F13378" w14:textId="2E995EB3"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14:paraId="58507BAD"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2A58A12"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43AE8F6F"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0D3E3F7F" w14:textId="77777777" w:rsidTr="00C5448D">
        <w:tc>
          <w:tcPr>
            <w:tcW w:w="7429" w:type="dxa"/>
            <w:gridSpan w:val="8"/>
          </w:tcPr>
          <w:p w14:paraId="087F3F32"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14A807C1" w14:textId="77777777" w:rsidR="00C5448D" w:rsidRPr="008B25BB" w:rsidRDefault="00C5448D" w:rsidP="00C5448D">
            <w:pPr>
              <w:spacing w:after="0"/>
              <w:jc w:val="both"/>
              <w:rPr>
                <w:rFonts w:cs="Arial"/>
                <w:b/>
                <w:bCs/>
                <w:lang w:eastAsia="pt-BR"/>
              </w:rPr>
            </w:pPr>
            <w:r>
              <w:rPr>
                <w:rFonts w:cs="Arial"/>
                <w:b/>
                <w:bCs/>
              </w:rPr>
              <w:t xml:space="preserve">R$ </w:t>
            </w:r>
          </w:p>
        </w:tc>
      </w:tr>
    </w:tbl>
    <w:p w14:paraId="54D3F8BC" w14:textId="2816B072" w:rsidR="00FB6B54" w:rsidRDefault="00FB6B54"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72E28CEC" w14:textId="77777777" w:rsidTr="00C5448D">
        <w:trPr>
          <w:cantSplit/>
          <w:trHeight w:val="227"/>
        </w:trPr>
        <w:tc>
          <w:tcPr>
            <w:tcW w:w="9639" w:type="dxa"/>
            <w:gridSpan w:val="10"/>
            <w:shd w:val="clear" w:color="auto" w:fill="B8CCE4" w:themeFill="accent1" w:themeFillTint="66"/>
            <w:vAlign w:val="center"/>
          </w:tcPr>
          <w:p w14:paraId="198D9324"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6791A71A"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704A711E" w14:textId="67529E59"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101603E3" w14:textId="77777777" w:rsidTr="00C5448D">
        <w:trPr>
          <w:cantSplit/>
          <w:trHeight w:val="1134"/>
        </w:trPr>
        <w:tc>
          <w:tcPr>
            <w:tcW w:w="506" w:type="dxa"/>
            <w:textDirection w:val="btLr"/>
            <w:vAlign w:val="center"/>
          </w:tcPr>
          <w:p w14:paraId="784531D7" w14:textId="11224348"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CC0D40">
              <w:rPr>
                <w:rFonts w:ascii="Arial" w:eastAsia="Times New Roman" w:hAnsi="Arial" w:cs="Arial"/>
                <w:b/>
                <w:bCs/>
                <w:color w:val="000000"/>
                <w:sz w:val="16"/>
                <w:szCs w:val="16"/>
                <w:lang w:eastAsia="pt-BR"/>
              </w:rPr>
              <w:t>4</w:t>
            </w:r>
          </w:p>
        </w:tc>
        <w:tc>
          <w:tcPr>
            <w:tcW w:w="506" w:type="dxa"/>
            <w:textDirection w:val="btLr"/>
            <w:vAlign w:val="center"/>
          </w:tcPr>
          <w:p w14:paraId="11960BE8"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44536E11"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4FB2512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06E009E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BE7C5D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659EBA4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155D0D7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DDA2F46"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26546E3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19434618" w14:textId="77777777" w:rsidTr="00C54EDB">
        <w:trPr>
          <w:cantSplit/>
          <w:trHeight w:hRule="exact" w:val="794"/>
        </w:trPr>
        <w:tc>
          <w:tcPr>
            <w:tcW w:w="506" w:type="dxa"/>
            <w:vMerge w:val="restart"/>
            <w:textDirection w:val="btLr"/>
          </w:tcPr>
          <w:p w14:paraId="379FDA41" w14:textId="1EB3264A"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w:t>
            </w:r>
            <w:r w:rsidR="00BB53D8">
              <w:rPr>
                <w:rFonts w:ascii="Arial" w:hAnsi="Arial" w:cs="Arial"/>
                <w:b/>
                <w:bCs/>
                <w:color w:val="000000" w:themeColor="text1"/>
                <w:sz w:val="16"/>
                <w:szCs w:val="22"/>
              </w:rPr>
              <w:t>4</w:t>
            </w:r>
          </w:p>
        </w:tc>
        <w:tc>
          <w:tcPr>
            <w:tcW w:w="506" w:type="dxa"/>
            <w:vMerge w:val="restart"/>
            <w:textDirection w:val="btLr"/>
          </w:tcPr>
          <w:p w14:paraId="0A84D1B3" w14:textId="040FF8F2"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6501-508</w:t>
            </w:r>
          </w:p>
        </w:tc>
        <w:tc>
          <w:tcPr>
            <w:tcW w:w="506" w:type="dxa"/>
            <w:vMerge w:val="restart"/>
            <w:textDirection w:val="btLr"/>
          </w:tcPr>
          <w:p w14:paraId="246D6A97" w14:textId="50772304"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268439</w:t>
            </w:r>
          </w:p>
        </w:tc>
        <w:tc>
          <w:tcPr>
            <w:tcW w:w="1939" w:type="dxa"/>
            <w:vMerge w:val="restart"/>
            <w:vAlign w:val="center"/>
          </w:tcPr>
          <w:p w14:paraId="5E44A42C" w14:textId="77777777" w:rsidR="00C54EDB" w:rsidRDefault="00C54EDB" w:rsidP="00C54EDB">
            <w:pPr>
              <w:pStyle w:val="Default"/>
              <w:jc w:val="center"/>
              <w:rPr>
                <w:sz w:val="18"/>
                <w:szCs w:val="18"/>
              </w:rPr>
            </w:pPr>
            <w:proofErr w:type="spellStart"/>
            <w:r>
              <w:rPr>
                <w:sz w:val="18"/>
                <w:szCs w:val="18"/>
              </w:rPr>
              <w:t>Claritromicina</w:t>
            </w:r>
            <w:proofErr w:type="spellEnd"/>
            <w:r>
              <w:rPr>
                <w:sz w:val="18"/>
                <w:szCs w:val="18"/>
              </w:rPr>
              <w:t xml:space="preserve">, 500 mg, Comprimido revestido, Blister, VIA DE ADMINISTRAÇÃO: Oral, UNID. DE MEDIDA: Unitário </w:t>
            </w:r>
          </w:p>
          <w:p w14:paraId="149EDCEE" w14:textId="77777777" w:rsidR="00C5448D" w:rsidRPr="00CA229F" w:rsidRDefault="00C5448D" w:rsidP="00C5448D">
            <w:pPr>
              <w:pStyle w:val="Standard"/>
              <w:widowControl/>
              <w:tabs>
                <w:tab w:val="left" w:pos="-3186"/>
              </w:tabs>
              <w:jc w:val="center"/>
              <w:rPr>
                <w:rFonts w:ascii="Arial" w:hAnsi="Arial" w:cs="Arial"/>
                <w:bCs/>
                <w:color w:val="000000" w:themeColor="text1"/>
                <w:sz w:val="16"/>
                <w:szCs w:val="16"/>
              </w:rPr>
            </w:pPr>
          </w:p>
        </w:tc>
        <w:tc>
          <w:tcPr>
            <w:tcW w:w="1304" w:type="dxa"/>
            <w:vAlign w:val="center"/>
          </w:tcPr>
          <w:p w14:paraId="2D8E412C" w14:textId="68CBFF57"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4566FCFE" w14:textId="08A2E903"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B04651B" w14:textId="22B0B84F"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14:paraId="639B17C6" w14:textId="12F3EBA6" w:rsidR="00C54EDB" w:rsidRDefault="00C54EDB"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180</w:t>
            </w:r>
            <w:r w:rsidR="00C5448D">
              <w:rPr>
                <w:rFonts w:ascii="Arial" w:hAnsi="Arial" w:cs="Arial"/>
                <w:b/>
                <w:bCs/>
                <w:color w:val="000000" w:themeColor="text1"/>
                <w:sz w:val="16"/>
                <w:szCs w:val="22"/>
              </w:rPr>
              <w:t xml:space="preserve"> </w:t>
            </w:r>
          </w:p>
          <w:p w14:paraId="12A78591" w14:textId="0DCBEEF6"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3FBBCD77"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22C61424"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23FF6E9D"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561BDAA8" w14:textId="77777777" w:rsidTr="00C54EDB">
        <w:trPr>
          <w:cantSplit/>
          <w:trHeight w:hRule="exact" w:val="794"/>
        </w:trPr>
        <w:tc>
          <w:tcPr>
            <w:tcW w:w="506" w:type="dxa"/>
            <w:vMerge/>
            <w:textDirection w:val="btLr"/>
          </w:tcPr>
          <w:p w14:paraId="44E4BE0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165A7B3E"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836C08F"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5785E8EB"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47455756" w14:textId="04DE4794"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4A346186" w14:textId="47364E74"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14:paraId="568E1F01" w14:textId="135A6471"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14:paraId="25485496"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2E1D58F"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0CCAAB57"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F4AC9EE" w14:textId="77777777" w:rsidTr="00C5448D">
        <w:tc>
          <w:tcPr>
            <w:tcW w:w="7429" w:type="dxa"/>
            <w:gridSpan w:val="8"/>
          </w:tcPr>
          <w:p w14:paraId="137A0F73"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4CAF61E1" w14:textId="77777777" w:rsidR="00C5448D" w:rsidRPr="008B25BB" w:rsidRDefault="00C5448D" w:rsidP="00C5448D">
            <w:pPr>
              <w:spacing w:after="0"/>
              <w:jc w:val="both"/>
              <w:rPr>
                <w:rFonts w:cs="Arial"/>
                <w:b/>
                <w:bCs/>
                <w:lang w:eastAsia="pt-BR"/>
              </w:rPr>
            </w:pPr>
            <w:r>
              <w:rPr>
                <w:rFonts w:cs="Arial"/>
                <w:b/>
                <w:bCs/>
              </w:rPr>
              <w:t xml:space="preserve">R$ </w:t>
            </w:r>
          </w:p>
        </w:tc>
      </w:tr>
    </w:tbl>
    <w:p w14:paraId="097BDFEE" w14:textId="73319D74"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07133886" w14:textId="77777777" w:rsidTr="00C5448D">
        <w:trPr>
          <w:cantSplit/>
          <w:trHeight w:val="227"/>
        </w:trPr>
        <w:tc>
          <w:tcPr>
            <w:tcW w:w="9639" w:type="dxa"/>
            <w:gridSpan w:val="10"/>
            <w:shd w:val="clear" w:color="auto" w:fill="B8CCE4" w:themeFill="accent1" w:themeFillTint="66"/>
            <w:vAlign w:val="center"/>
          </w:tcPr>
          <w:p w14:paraId="2F3F242E"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71CE9B36"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2B8777FF" w14:textId="245BD387"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6B8F607E" w14:textId="77777777" w:rsidTr="00C5448D">
        <w:trPr>
          <w:cantSplit/>
          <w:trHeight w:val="1134"/>
        </w:trPr>
        <w:tc>
          <w:tcPr>
            <w:tcW w:w="506" w:type="dxa"/>
            <w:textDirection w:val="btLr"/>
            <w:vAlign w:val="center"/>
          </w:tcPr>
          <w:p w14:paraId="076C19B7" w14:textId="37069E54"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5</w:t>
            </w:r>
          </w:p>
        </w:tc>
        <w:tc>
          <w:tcPr>
            <w:tcW w:w="506" w:type="dxa"/>
            <w:textDirection w:val="btLr"/>
            <w:vAlign w:val="center"/>
          </w:tcPr>
          <w:p w14:paraId="59233B53"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7A7C1AF"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39BE2AF2"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4F824D9F"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4E8A01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7B521EDD"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1877114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ADF8B1E"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5CE8D71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5448D" w14:paraId="58C1A2A9" w14:textId="77777777" w:rsidTr="00C54EDB">
        <w:trPr>
          <w:cantSplit/>
          <w:trHeight w:val="794"/>
        </w:trPr>
        <w:tc>
          <w:tcPr>
            <w:tcW w:w="506" w:type="dxa"/>
            <w:vMerge w:val="restart"/>
            <w:textDirection w:val="btLr"/>
          </w:tcPr>
          <w:p w14:paraId="7675C040"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14:paraId="1E5D4878" w14:textId="44ACD3D5"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6501-509</w:t>
            </w:r>
          </w:p>
        </w:tc>
        <w:tc>
          <w:tcPr>
            <w:tcW w:w="506" w:type="dxa"/>
            <w:vMerge w:val="restart"/>
            <w:textDirection w:val="btLr"/>
          </w:tcPr>
          <w:p w14:paraId="7BB1E8C0" w14:textId="22A9828C" w:rsidR="00C5448D" w:rsidRPr="00DC40A7" w:rsidRDefault="00C54EDB"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268440</w:t>
            </w:r>
          </w:p>
        </w:tc>
        <w:tc>
          <w:tcPr>
            <w:tcW w:w="1939" w:type="dxa"/>
            <w:vMerge w:val="restart"/>
            <w:vAlign w:val="center"/>
          </w:tcPr>
          <w:p w14:paraId="733B00B0" w14:textId="6AF8A099" w:rsidR="00C5448D" w:rsidRPr="00C54EDB" w:rsidRDefault="00C54EDB" w:rsidP="00C54EDB">
            <w:pPr>
              <w:pStyle w:val="Default"/>
              <w:jc w:val="center"/>
              <w:rPr>
                <w:sz w:val="18"/>
                <w:szCs w:val="18"/>
              </w:rPr>
            </w:pPr>
            <w:proofErr w:type="spellStart"/>
            <w:r>
              <w:rPr>
                <w:sz w:val="18"/>
                <w:szCs w:val="18"/>
              </w:rPr>
              <w:t>Claritromicina</w:t>
            </w:r>
            <w:proofErr w:type="spellEnd"/>
            <w:r>
              <w:rPr>
                <w:sz w:val="18"/>
                <w:szCs w:val="18"/>
              </w:rPr>
              <w:t xml:space="preserve">, 500 mg (Injetável), Pó para solução injetável, Frasco- ampola, VIA DE ADMINISTRAÇÃO: Intravenosa, UNID. DE MEDIDA: </w:t>
            </w:r>
          </w:p>
        </w:tc>
        <w:tc>
          <w:tcPr>
            <w:tcW w:w="1304" w:type="dxa"/>
            <w:vAlign w:val="center"/>
          </w:tcPr>
          <w:p w14:paraId="3996525B" w14:textId="571DFF16"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56E22E9F" w14:textId="3B4330EC"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3E236121" w14:textId="33E6ECAC"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14:paraId="1FFC62FD" w14:textId="3B922487" w:rsidR="00C54EDB" w:rsidRDefault="00C54EDB"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180</w:t>
            </w:r>
          </w:p>
          <w:p w14:paraId="6E5200E2" w14:textId="02916C82" w:rsidR="00C5448D" w:rsidRPr="00E86F16" w:rsidRDefault="00C5448D"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14:paraId="5AF8CC65" w14:textId="77777777" w:rsidR="00C5448D" w:rsidRPr="00865A09" w:rsidRDefault="00C5448D"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15C626EB" w14:textId="77777777" w:rsidR="00C5448D" w:rsidRPr="00865A09" w:rsidRDefault="00C5448D"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6DCFD23F"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33DFEE90" w14:textId="77777777" w:rsidTr="00C54EDB">
        <w:trPr>
          <w:cantSplit/>
          <w:trHeight w:val="794"/>
        </w:trPr>
        <w:tc>
          <w:tcPr>
            <w:tcW w:w="506" w:type="dxa"/>
            <w:vMerge/>
            <w:textDirection w:val="btLr"/>
          </w:tcPr>
          <w:p w14:paraId="178A1D44" w14:textId="77777777" w:rsidR="00C5448D" w:rsidRPr="00DC40A7"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28917473"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14:paraId="6F2D22D6" w14:textId="77777777" w:rsidR="00C5448D" w:rsidRDefault="00C5448D"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14:paraId="319E5B63" w14:textId="77777777" w:rsidR="00C5448D" w:rsidRDefault="00C5448D" w:rsidP="00C5448D">
            <w:pPr>
              <w:pStyle w:val="Standard"/>
              <w:widowControl/>
              <w:tabs>
                <w:tab w:val="left" w:pos="-3186"/>
              </w:tabs>
              <w:jc w:val="center"/>
              <w:rPr>
                <w:rFonts w:ascii="docs-Roboto" w:hAnsi="docs-Roboto" w:hint="eastAsia"/>
                <w:color w:val="000000"/>
                <w:sz w:val="18"/>
                <w:szCs w:val="18"/>
              </w:rPr>
            </w:pPr>
          </w:p>
        </w:tc>
        <w:tc>
          <w:tcPr>
            <w:tcW w:w="1304" w:type="dxa"/>
            <w:vAlign w:val="center"/>
          </w:tcPr>
          <w:p w14:paraId="2324B152" w14:textId="72F7D0DD" w:rsidR="00C5448D" w:rsidRPr="00905AA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14:paraId="51B34DC9" w14:textId="34E251ED" w:rsidR="00C5448D"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14:paraId="66BBFE4B" w14:textId="58D1C578" w:rsidR="00C5448D" w:rsidRPr="00E86F16" w:rsidRDefault="00C54EDB"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14:paraId="55178120" w14:textId="77777777" w:rsidR="00C5448D" w:rsidRDefault="00C5448D" w:rsidP="00C5448D">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1C18876" w14:textId="77777777" w:rsidR="00C5448D" w:rsidRPr="00865A09" w:rsidRDefault="00C5448D" w:rsidP="00C5448D">
            <w:pPr>
              <w:spacing w:after="0" w:line="240" w:lineRule="auto"/>
              <w:jc w:val="center"/>
              <w:rPr>
                <w:rFonts w:ascii="Arial" w:hAnsi="Arial" w:cs="Arial"/>
                <w:b/>
                <w:bCs/>
                <w:sz w:val="16"/>
              </w:rPr>
            </w:pPr>
          </w:p>
        </w:tc>
        <w:tc>
          <w:tcPr>
            <w:tcW w:w="1176" w:type="dxa"/>
            <w:vAlign w:val="center"/>
          </w:tcPr>
          <w:p w14:paraId="789CD68E" w14:textId="77777777" w:rsidR="00C5448D" w:rsidRPr="00865A09" w:rsidRDefault="00C5448D" w:rsidP="00C5448D">
            <w:pPr>
              <w:spacing w:after="0" w:line="240" w:lineRule="auto"/>
              <w:rPr>
                <w:rFonts w:ascii="Arial" w:hAnsi="Arial" w:cs="Arial"/>
                <w:sz w:val="16"/>
              </w:rPr>
            </w:pPr>
            <w:r w:rsidRPr="0078606D">
              <w:rPr>
                <w:rFonts w:ascii="Arial" w:hAnsi="Arial" w:cs="Arial"/>
                <w:b/>
                <w:bCs/>
                <w:sz w:val="16"/>
                <w:szCs w:val="16"/>
              </w:rPr>
              <w:t>R$</w:t>
            </w:r>
          </w:p>
        </w:tc>
      </w:tr>
      <w:tr w:rsidR="00C5448D" w14:paraId="19605F07" w14:textId="77777777" w:rsidTr="00C5448D">
        <w:tc>
          <w:tcPr>
            <w:tcW w:w="7429" w:type="dxa"/>
            <w:gridSpan w:val="8"/>
          </w:tcPr>
          <w:p w14:paraId="4DE5EEEB"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090B80FF" w14:textId="77777777" w:rsidR="00C5448D" w:rsidRPr="008B25BB" w:rsidRDefault="00C5448D" w:rsidP="00C5448D">
            <w:pPr>
              <w:spacing w:after="0"/>
              <w:jc w:val="both"/>
              <w:rPr>
                <w:rFonts w:cs="Arial"/>
                <w:b/>
                <w:bCs/>
                <w:lang w:eastAsia="pt-BR"/>
              </w:rPr>
            </w:pPr>
            <w:r>
              <w:rPr>
                <w:rFonts w:cs="Arial"/>
                <w:b/>
                <w:bCs/>
              </w:rPr>
              <w:t xml:space="preserve">R$ </w:t>
            </w:r>
          </w:p>
        </w:tc>
      </w:tr>
    </w:tbl>
    <w:p w14:paraId="51725DDB" w14:textId="77777777"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31CA4639" w14:textId="74F70296" w:rsidR="00FB6B54" w:rsidRDefault="00FB6B54" w:rsidP="00E45FCD">
      <w:pPr>
        <w:pStyle w:val="Standard"/>
        <w:widowControl/>
        <w:tabs>
          <w:tab w:val="left" w:pos="-3186"/>
        </w:tabs>
        <w:jc w:val="both"/>
        <w:rPr>
          <w:rFonts w:ascii="Arial" w:eastAsia="Times New Roman" w:hAnsi="Arial" w:cs="Arial"/>
          <w:b/>
          <w:bCs/>
          <w:color w:val="000000"/>
          <w:sz w:val="16"/>
          <w:szCs w:val="16"/>
          <w:lang w:eastAsia="pt-BR"/>
        </w:rPr>
      </w:pPr>
    </w:p>
    <w:p w14:paraId="2ADAD5C8" w14:textId="2848112E"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p w14:paraId="6FC7DC0A" w14:textId="61514CAA"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p w14:paraId="06F6F84B" w14:textId="77777777" w:rsidR="002F5661" w:rsidRDefault="002F5661" w:rsidP="00E45FCD">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5448D" w14:paraId="6C3985A4" w14:textId="77777777" w:rsidTr="00C5448D">
        <w:trPr>
          <w:cantSplit/>
          <w:trHeight w:val="227"/>
        </w:trPr>
        <w:tc>
          <w:tcPr>
            <w:tcW w:w="9639" w:type="dxa"/>
            <w:gridSpan w:val="10"/>
            <w:shd w:val="clear" w:color="auto" w:fill="B8CCE4" w:themeFill="accent1" w:themeFillTint="66"/>
            <w:vAlign w:val="center"/>
          </w:tcPr>
          <w:p w14:paraId="6C2A1F01" w14:textId="77777777" w:rsidR="00C5448D" w:rsidRDefault="00C5448D" w:rsidP="00C5448D">
            <w:pPr>
              <w:pStyle w:val="Standard"/>
              <w:widowControl/>
              <w:tabs>
                <w:tab w:val="left" w:pos="-3186"/>
              </w:tabs>
              <w:jc w:val="center"/>
              <w:rPr>
                <w:rFonts w:ascii="Arial" w:eastAsia="Times New Roman" w:hAnsi="Arial" w:cs="Arial"/>
                <w:b/>
                <w:bCs/>
                <w:color w:val="000000"/>
                <w:sz w:val="16"/>
                <w:szCs w:val="16"/>
                <w:lang w:eastAsia="pt-BR"/>
              </w:rPr>
            </w:pPr>
          </w:p>
          <w:p w14:paraId="081E4176" w14:textId="77777777" w:rsidR="00E13941"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p w14:paraId="090A53B2" w14:textId="26F46047" w:rsidR="00E13941" w:rsidRPr="008A5B5A" w:rsidRDefault="00E13941" w:rsidP="00C5448D">
            <w:pPr>
              <w:pStyle w:val="Standard"/>
              <w:widowControl/>
              <w:tabs>
                <w:tab w:val="left" w:pos="-3186"/>
              </w:tabs>
              <w:jc w:val="center"/>
              <w:rPr>
                <w:rFonts w:ascii="Arial" w:eastAsia="Times New Roman" w:hAnsi="Arial" w:cs="Arial"/>
                <w:b/>
                <w:bCs/>
                <w:color w:val="000000"/>
                <w:sz w:val="16"/>
                <w:szCs w:val="16"/>
                <w:lang w:eastAsia="pt-BR"/>
              </w:rPr>
            </w:pPr>
          </w:p>
        </w:tc>
      </w:tr>
      <w:tr w:rsidR="00C5448D" w14:paraId="3E2DEBF5" w14:textId="77777777" w:rsidTr="00C5448D">
        <w:trPr>
          <w:cantSplit/>
          <w:trHeight w:val="1134"/>
        </w:trPr>
        <w:tc>
          <w:tcPr>
            <w:tcW w:w="506" w:type="dxa"/>
            <w:textDirection w:val="btLr"/>
            <w:vAlign w:val="center"/>
          </w:tcPr>
          <w:p w14:paraId="75C8C455" w14:textId="33BBE820"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BB53D8">
              <w:rPr>
                <w:rFonts w:ascii="Arial" w:eastAsia="Times New Roman" w:hAnsi="Arial" w:cs="Arial"/>
                <w:b/>
                <w:bCs/>
                <w:color w:val="000000"/>
                <w:sz w:val="16"/>
                <w:szCs w:val="16"/>
                <w:lang w:eastAsia="pt-BR"/>
              </w:rPr>
              <w:t>6</w:t>
            </w:r>
          </w:p>
        </w:tc>
        <w:tc>
          <w:tcPr>
            <w:tcW w:w="506" w:type="dxa"/>
            <w:textDirection w:val="btLr"/>
            <w:vAlign w:val="center"/>
          </w:tcPr>
          <w:p w14:paraId="3220F67A"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14:paraId="359C7B11" w14:textId="77777777" w:rsidR="00C5448D" w:rsidRDefault="00C5448D" w:rsidP="00C5448D">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14:paraId="4F29FF5C"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14:paraId="19365181"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14:paraId="53E1769D"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14:paraId="0B903A15"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14:paraId="3710F153"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006D1C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14:paraId="40A96900" w14:textId="77777777" w:rsidR="00C5448D" w:rsidRDefault="00C5448D" w:rsidP="00C5448D">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F5661" w14:paraId="24263E07" w14:textId="77777777" w:rsidTr="006B2006">
        <w:trPr>
          <w:cantSplit/>
          <w:trHeight w:val="1455"/>
        </w:trPr>
        <w:tc>
          <w:tcPr>
            <w:tcW w:w="506" w:type="dxa"/>
            <w:textDirection w:val="btLr"/>
          </w:tcPr>
          <w:p w14:paraId="02C1F05F" w14:textId="77777777"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textDirection w:val="btLr"/>
          </w:tcPr>
          <w:p w14:paraId="652F223C" w14:textId="29221387"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66501-3113</w:t>
            </w:r>
          </w:p>
        </w:tc>
        <w:tc>
          <w:tcPr>
            <w:tcW w:w="506" w:type="dxa"/>
            <w:textDirection w:val="btLr"/>
          </w:tcPr>
          <w:p w14:paraId="5C413AB4" w14:textId="75C849D9" w:rsidR="002F5661" w:rsidRPr="00DC40A7" w:rsidRDefault="002F5661" w:rsidP="00C5448D">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278483</w:t>
            </w:r>
          </w:p>
        </w:tc>
        <w:tc>
          <w:tcPr>
            <w:tcW w:w="1939" w:type="dxa"/>
            <w:vAlign w:val="center"/>
          </w:tcPr>
          <w:p w14:paraId="4D75F33E" w14:textId="10D34C96" w:rsidR="002F5661" w:rsidRPr="002F5661" w:rsidRDefault="002F5661" w:rsidP="002F5661">
            <w:pPr>
              <w:pStyle w:val="Default"/>
              <w:rPr>
                <w:sz w:val="18"/>
                <w:szCs w:val="18"/>
              </w:rPr>
            </w:pPr>
            <w:r>
              <w:rPr>
                <w:sz w:val="18"/>
                <w:szCs w:val="18"/>
              </w:rPr>
              <w:t xml:space="preserve">Complexo B - Tiamina (Vitamina B1) + Piridoxina (Vitamina B6) + Nicotinamida (Vitamina B3) + Riboflavina (Vitamina B2) + </w:t>
            </w:r>
            <w:proofErr w:type="spellStart"/>
            <w:r>
              <w:rPr>
                <w:sz w:val="18"/>
                <w:szCs w:val="18"/>
              </w:rPr>
              <w:t>Dexpantenol</w:t>
            </w:r>
            <w:proofErr w:type="spellEnd"/>
            <w:r>
              <w:rPr>
                <w:sz w:val="18"/>
                <w:szCs w:val="18"/>
              </w:rPr>
              <w:t xml:space="preserve"> / </w:t>
            </w:r>
            <w:proofErr w:type="spellStart"/>
            <w:r>
              <w:rPr>
                <w:sz w:val="18"/>
                <w:szCs w:val="18"/>
              </w:rPr>
              <w:t>Pantotenato</w:t>
            </w:r>
            <w:proofErr w:type="spellEnd"/>
            <w:r>
              <w:rPr>
                <w:sz w:val="18"/>
                <w:szCs w:val="18"/>
              </w:rPr>
              <w:t xml:space="preserve"> de cálcio (Vitamina B5) + Biotina (Vitamina B8) , 3 a 5 mg + 2 a 3 mg + 10 a 20 mg + 2 a 3 mg + 3 mg + 0 a 0,25 mg/ml, Solução oral, Frasco gotejador, 20 ml, % DE VARIAÇÃO ACEITO (PARA CIMA) NA UNIDADE DE MEDIDA DA EMBALAGEM PRIMÁRIA: 50, VIA DE ADMINISTRAÇÃO: Oral, UNID. DE MEDIDA: Unitário </w:t>
            </w:r>
          </w:p>
        </w:tc>
        <w:tc>
          <w:tcPr>
            <w:tcW w:w="1304" w:type="dxa"/>
            <w:vAlign w:val="center"/>
          </w:tcPr>
          <w:p w14:paraId="410161EC" w14:textId="12A1E480" w:rsidR="002F5661" w:rsidRPr="00905AAD"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14:paraId="6D1670C0" w14:textId="5ACE6B39" w:rsidR="002F5661"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14:paraId="10F063AC" w14:textId="2742C757" w:rsidR="002F5661" w:rsidRPr="00E86F16" w:rsidRDefault="002F5661" w:rsidP="00C5448D">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Align w:val="center"/>
          </w:tcPr>
          <w:p w14:paraId="62183989" w14:textId="5C564737" w:rsidR="002F5661" w:rsidRDefault="002F5661"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06</w:t>
            </w:r>
          </w:p>
          <w:p w14:paraId="712C82F1" w14:textId="47E61DF6" w:rsidR="002F5661" w:rsidRPr="00E86F16" w:rsidRDefault="002F5661" w:rsidP="00C5448D">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Align w:val="center"/>
          </w:tcPr>
          <w:p w14:paraId="53A84000" w14:textId="77777777" w:rsidR="002F5661" w:rsidRPr="00865A09" w:rsidRDefault="002F5661" w:rsidP="00C5448D">
            <w:pPr>
              <w:spacing w:after="0" w:line="240" w:lineRule="auto"/>
              <w:jc w:val="center"/>
              <w:rPr>
                <w:rFonts w:ascii="Arial" w:hAnsi="Arial" w:cs="Arial"/>
                <w:b/>
                <w:bCs/>
                <w:sz w:val="16"/>
                <w:lang w:eastAsia="pt-BR"/>
              </w:rPr>
            </w:pPr>
            <w:r w:rsidRPr="00865A09">
              <w:rPr>
                <w:rFonts w:ascii="Arial" w:hAnsi="Arial" w:cs="Arial"/>
                <w:b/>
                <w:bCs/>
                <w:sz w:val="16"/>
              </w:rPr>
              <w:t xml:space="preserve">R$ </w:t>
            </w:r>
          </w:p>
          <w:p w14:paraId="78AC21EE" w14:textId="77777777" w:rsidR="002F5661" w:rsidRPr="00865A09" w:rsidRDefault="002F5661" w:rsidP="00C5448D">
            <w:pPr>
              <w:pStyle w:val="Standard"/>
              <w:widowControl/>
              <w:tabs>
                <w:tab w:val="left" w:pos="-3186"/>
              </w:tabs>
              <w:jc w:val="center"/>
              <w:rPr>
                <w:rFonts w:ascii="Arial" w:hAnsi="Arial" w:cs="Arial"/>
                <w:bCs/>
                <w:color w:val="000000" w:themeColor="text1"/>
                <w:sz w:val="16"/>
                <w:szCs w:val="22"/>
              </w:rPr>
            </w:pPr>
          </w:p>
        </w:tc>
        <w:tc>
          <w:tcPr>
            <w:tcW w:w="1176" w:type="dxa"/>
            <w:vAlign w:val="center"/>
          </w:tcPr>
          <w:p w14:paraId="7E9E90CE" w14:textId="77777777" w:rsidR="002F5661" w:rsidRPr="00865A09" w:rsidRDefault="002F5661" w:rsidP="00C5448D">
            <w:pPr>
              <w:spacing w:after="0" w:line="240" w:lineRule="auto"/>
              <w:rPr>
                <w:rFonts w:ascii="Arial" w:hAnsi="Arial" w:cs="Arial"/>
                <w:sz w:val="16"/>
              </w:rPr>
            </w:pPr>
            <w:r w:rsidRPr="0078606D">
              <w:rPr>
                <w:rFonts w:ascii="Arial" w:hAnsi="Arial" w:cs="Arial"/>
                <w:b/>
                <w:bCs/>
                <w:sz w:val="16"/>
                <w:szCs w:val="16"/>
              </w:rPr>
              <w:t>R$</w:t>
            </w:r>
          </w:p>
        </w:tc>
      </w:tr>
      <w:tr w:rsidR="00C5448D" w14:paraId="7513F691" w14:textId="77777777" w:rsidTr="00C5448D">
        <w:tc>
          <w:tcPr>
            <w:tcW w:w="7429" w:type="dxa"/>
            <w:gridSpan w:val="8"/>
          </w:tcPr>
          <w:p w14:paraId="24E02D1B" w14:textId="77777777" w:rsidR="00C5448D" w:rsidRPr="00303A73" w:rsidRDefault="00C5448D" w:rsidP="00C5448D">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14:paraId="472F1A62" w14:textId="77777777" w:rsidR="00C5448D" w:rsidRPr="008B25BB" w:rsidRDefault="00C5448D" w:rsidP="00C5448D">
            <w:pPr>
              <w:spacing w:after="0"/>
              <w:jc w:val="both"/>
              <w:rPr>
                <w:rFonts w:cs="Arial"/>
                <w:b/>
                <w:bCs/>
                <w:lang w:eastAsia="pt-BR"/>
              </w:rPr>
            </w:pPr>
            <w:r>
              <w:rPr>
                <w:rFonts w:cs="Arial"/>
                <w:b/>
                <w:bCs/>
              </w:rPr>
              <w:t xml:space="preserve">R$ </w:t>
            </w:r>
          </w:p>
        </w:tc>
      </w:tr>
    </w:tbl>
    <w:p w14:paraId="6CCD0ED3" w14:textId="68926A89"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029E8BBE" w14:textId="77777777" w:rsidR="00C5448D" w:rsidRDefault="00C5448D" w:rsidP="00E45FCD">
      <w:pPr>
        <w:pStyle w:val="Standard"/>
        <w:widowControl/>
        <w:tabs>
          <w:tab w:val="left" w:pos="-3186"/>
        </w:tabs>
        <w:jc w:val="both"/>
        <w:rPr>
          <w:rFonts w:ascii="Arial" w:eastAsia="Times New Roman" w:hAnsi="Arial" w:cs="Arial"/>
          <w:b/>
          <w:bCs/>
          <w:color w:val="000000"/>
          <w:sz w:val="16"/>
          <w:szCs w:val="16"/>
          <w:lang w:eastAsia="pt-BR"/>
        </w:rPr>
      </w:pPr>
    </w:p>
    <w:p w14:paraId="209A64EE" w14:textId="5E1ED3F4" w:rsidR="004A691A" w:rsidRDefault="004A691A" w:rsidP="00E45FCD">
      <w:pPr>
        <w:spacing w:after="0" w:line="240" w:lineRule="auto"/>
      </w:pPr>
    </w:p>
    <w:bookmarkEnd w:id="3"/>
    <w:p w14:paraId="66659C39" w14:textId="6A006E0C" w:rsidR="003E0AE8" w:rsidRDefault="003E0AE8" w:rsidP="004767D1">
      <w:pPr>
        <w:pStyle w:val="Default"/>
        <w:tabs>
          <w:tab w:val="left" w:pos="284"/>
          <w:tab w:val="left" w:pos="709"/>
          <w:tab w:val="left" w:pos="851"/>
        </w:tabs>
        <w:ind w:left="375"/>
        <w:jc w:val="both"/>
        <w:rPr>
          <w:color w:val="000000" w:themeColor="text1"/>
          <w:sz w:val="22"/>
          <w:szCs w:val="22"/>
        </w:rPr>
      </w:pPr>
    </w:p>
    <w:p w14:paraId="2D8AB440" w14:textId="77777777" w:rsidR="002C170E" w:rsidRDefault="002C170E"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58F22491" w:rsidR="00972A89" w:rsidRPr="00974207" w:rsidRDefault="005370A1" w:rsidP="00972A8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CPPI</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43527F11"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5370A1" w:rsidRPr="00974207" w14:paraId="718418BD"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tcPr>
          <w:p w14:paraId="6CCBED0D" w14:textId="32D1BD32" w:rsidR="005370A1" w:rsidRPr="00974207" w:rsidRDefault="005370A1" w:rsidP="00FD13D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6651F72B" w14:textId="5D317D66" w:rsidR="005370A1" w:rsidRPr="00B22AB9" w:rsidRDefault="00DE6103"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tcPr>
          <w:p w14:paraId="55C3A936" w14:textId="3B7DA535"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5E37A8D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1854F7A1"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0EACA5D2"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20969"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5E5E4571" w:rsidR="00F20969" w:rsidRPr="00974207" w:rsidRDefault="00F20969" w:rsidP="00F2096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742ADD09" w14:textId="106223F6" w:rsidR="00F20969" w:rsidRPr="00B22AB9" w:rsidRDefault="00F20969" w:rsidP="00F2096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20969"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619AF277" w:rsidR="00F20969" w:rsidRPr="00974207" w:rsidRDefault="00F20969" w:rsidP="00F20969">
            <w:pPr>
              <w:spacing w:after="0" w:line="240" w:lineRule="auto"/>
              <w:jc w:val="center"/>
              <w:rPr>
                <w:rFonts w:ascii="Arial" w:eastAsia="Times New Roman" w:hAnsi="Arial" w:cs="Arial"/>
                <w:b/>
                <w:bCs/>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16A8BC70" w14:textId="200A5076" w:rsidR="00F20969" w:rsidRPr="00B22AB9" w:rsidRDefault="00F20969" w:rsidP="00F2096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20969"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1054A716" w:rsidR="00F20969" w:rsidRPr="00974207" w:rsidRDefault="00F20969" w:rsidP="00F2096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06461D8" w14:textId="46BD8C45" w:rsidR="00F20969" w:rsidRPr="00B22AB9" w:rsidRDefault="00F20969" w:rsidP="00F20969">
            <w:pPr>
              <w:spacing w:after="0" w:line="240" w:lineRule="auto"/>
              <w:jc w:val="center"/>
              <w:rPr>
                <w:rFonts w:ascii="Arial" w:hAnsi="Arial" w:cs="Arial"/>
                <w:sz w:val="20"/>
                <w:szCs w:val="20"/>
              </w:rPr>
            </w:pPr>
            <w:r w:rsidRPr="00B22AB9">
              <w:rPr>
                <w:rFonts w:ascii="Arial" w:hAnsi="Arial" w:cs="Arial"/>
                <w:sz w:val="20"/>
                <w:szCs w:val="20"/>
              </w:rPr>
              <w:t>R$</w:t>
            </w:r>
          </w:p>
        </w:tc>
      </w:tr>
      <w:tr w:rsidR="00F20969" w:rsidRPr="00974207" w14:paraId="2CC4C105"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70DE5AC4" w14:textId="1A9AA108" w:rsidR="00F20969" w:rsidRPr="00974207" w:rsidRDefault="00F20969" w:rsidP="00F2096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D4CF7A2" w14:textId="50D16A23" w:rsidR="00F20969" w:rsidRPr="00B22AB9" w:rsidRDefault="00F20969" w:rsidP="00F2096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1B05C22D" w:rsidR="00FD13D9" w:rsidRDefault="00F2096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HCAB</w:t>
            </w:r>
          </w:p>
        </w:tc>
        <w:tc>
          <w:tcPr>
            <w:tcW w:w="2662" w:type="pct"/>
            <w:tcBorders>
              <w:top w:val="nil"/>
              <w:left w:val="nil"/>
              <w:bottom w:val="single" w:sz="4" w:space="0" w:color="auto"/>
              <w:right w:val="single" w:sz="4" w:space="0" w:color="auto"/>
            </w:tcBorders>
            <w:shd w:val="clear" w:color="auto" w:fill="auto"/>
            <w:noWrap/>
          </w:tcPr>
          <w:p w14:paraId="1EF4CD81" w14:textId="0CE19D8E"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974207"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46660616" w:rsidR="006D1C46" w:rsidRPr="00B22AB9" w:rsidRDefault="00FD13D9" w:rsidP="004B2A60">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lastRenderedPageBreak/>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w:t>
      </w:r>
      <w:r w:rsidRPr="0084772B">
        <w:rPr>
          <w:rFonts w:ascii="Arial" w:hAnsi="Arial" w:cs="Arial"/>
          <w:color w:val="000000" w:themeColor="text1"/>
          <w:shd w:val="clear" w:color="auto" w:fill="FFFFFF"/>
        </w:rPr>
        <w:lastRenderedPageBreak/>
        <w:t>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4"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4"/>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33476D4F" w14:textId="77777777" w:rsidR="00FB6F3A" w:rsidRPr="00FB6F3A" w:rsidRDefault="009D7BE3" w:rsidP="00FB6F3A">
      <w:pPr>
        <w:pStyle w:val="Standard"/>
        <w:widowControl/>
        <w:tabs>
          <w:tab w:val="left" w:pos="-3186"/>
        </w:tabs>
        <w:spacing w:line="360" w:lineRule="auto"/>
        <w:ind w:firstLine="709"/>
        <w:jc w:val="both"/>
        <w:rPr>
          <w:rFonts w:ascii="Arial" w:hAnsi="Arial" w:cs="Arial"/>
          <w:sz w:val="22"/>
          <w:szCs w:val="22"/>
        </w:rPr>
      </w:pPr>
      <w:r w:rsidRPr="00561CD2">
        <w:rPr>
          <w:rFonts w:ascii="Arial" w:hAnsi="Arial" w:cs="Arial"/>
          <w:color w:val="FF0000"/>
          <w:sz w:val="22"/>
          <w:szCs w:val="22"/>
        </w:rPr>
        <w:tab/>
      </w:r>
      <w:r w:rsidR="00FB6F3A" w:rsidRPr="00FB6F3A">
        <w:rPr>
          <w:rFonts w:ascii="Arial" w:hAnsi="Arial" w:cs="Arial"/>
          <w:sz w:val="22"/>
          <w:szCs w:val="22"/>
        </w:rPr>
        <w:t xml:space="preserve">Trata o Processo Administrativo </w:t>
      </w:r>
      <w:r w:rsidR="00FB6F3A" w:rsidRPr="00FB6F3A">
        <w:rPr>
          <w:rFonts w:ascii="Arial" w:hAnsi="Arial" w:cs="Arial"/>
          <w:color w:val="000000" w:themeColor="text1"/>
          <w:sz w:val="22"/>
          <w:szCs w:val="22"/>
        </w:rPr>
        <w:t xml:space="preserve">DISPENSA DE LICITAÇÃO GLOBAL para aquisição de </w:t>
      </w:r>
      <w:r w:rsidR="00FB6F3A" w:rsidRPr="00FB6F3A">
        <w:rPr>
          <w:rFonts w:ascii="Arial" w:hAnsi="Arial" w:cs="Arial"/>
          <w:b/>
          <w:sz w:val="22"/>
          <w:szCs w:val="22"/>
        </w:rPr>
        <w:t>MEDICAMENTOS</w:t>
      </w:r>
      <w:r w:rsidR="00FB6F3A" w:rsidRPr="00FB6F3A">
        <w:rPr>
          <w:rFonts w:ascii="Arial" w:hAnsi="Arial" w:cs="Arial"/>
          <w:sz w:val="22"/>
          <w:szCs w:val="22"/>
        </w:rPr>
        <w:t xml:space="preserve"> </w:t>
      </w:r>
      <w:r w:rsidR="00FB6F3A" w:rsidRPr="00FB6F3A">
        <w:rPr>
          <w:rFonts w:ascii="Arial" w:hAnsi="Arial" w:cs="Arial"/>
          <w:color w:val="000000" w:themeColor="text1"/>
          <w:sz w:val="22"/>
          <w:szCs w:val="22"/>
        </w:rPr>
        <w:t xml:space="preserve"> fundamentada no </w:t>
      </w:r>
      <w:r w:rsidR="00FB6F3A" w:rsidRPr="00FB6F3A">
        <w:rPr>
          <w:rFonts w:ascii="Arial" w:hAnsi="Arial" w:cs="Arial"/>
          <w:b/>
          <w:color w:val="000000" w:themeColor="text1"/>
          <w:sz w:val="22"/>
          <w:szCs w:val="22"/>
        </w:rPr>
        <w:t>inciso V</w:t>
      </w:r>
      <w:r w:rsidR="00FB6F3A" w:rsidRPr="00FB6F3A">
        <w:rPr>
          <w:rFonts w:ascii="Arial" w:hAnsi="Arial" w:cs="Arial"/>
          <w:color w:val="000000" w:themeColor="text1"/>
          <w:sz w:val="22"/>
          <w:szCs w:val="22"/>
        </w:rPr>
        <w:t xml:space="preserve"> do art. 24 da Lei Federal nº 8666/93, dos desertos </w:t>
      </w:r>
      <w:r w:rsidR="00FB6F3A" w:rsidRPr="00FB6F3A">
        <w:rPr>
          <w:rFonts w:ascii="Arial" w:hAnsi="Arial" w:cs="Arial"/>
          <w:b/>
          <w:color w:val="000000" w:themeColor="text1"/>
          <w:sz w:val="22"/>
          <w:szCs w:val="22"/>
        </w:rPr>
        <w:t>PE 242/202</w:t>
      </w:r>
      <w:r w:rsidR="00FB6F3A" w:rsidRPr="00FB6F3A">
        <w:rPr>
          <w:rFonts w:ascii="Arial" w:hAnsi="Arial" w:cs="Arial"/>
          <w:color w:val="000000" w:themeColor="text1"/>
          <w:sz w:val="22"/>
          <w:szCs w:val="22"/>
        </w:rPr>
        <w:t>, com o intuito de suprir pelo período de 12 (doze) meses, as Unidades FUNEAS:</w:t>
      </w:r>
      <w:r w:rsidR="00FB6F3A" w:rsidRPr="00FB6F3A">
        <w:rPr>
          <w:rFonts w:ascii="Arial" w:eastAsia="Times New Roman" w:hAnsi="Arial" w:cs="Arial"/>
          <w:sz w:val="22"/>
          <w:szCs w:val="22"/>
          <w:lang w:eastAsia="pt-BR"/>
        </w:rPr>
        <w:t xml:space="preserve"> </w:t>
      </w:r>
      <w:r w:rsidR="00FB6F3A" w:rsidRPr="00FB6F3A">
        <w:rPr>
          <w:rFonts w:ascii="Arial" w:hAnsi="Arial" w:cs="Arial"/>
          <w:color w:val="202124"/>
          <w:sz w:val="22"/>
          <w:szCs w:val="22"/>
          <w:shd w:val="clear" w:color="auto" w:fill="FFFFFF"/>
        </w:rPr>
        <w:t>Centro de Produção E Pesquisa De Imunobiológicos (CPPI),</w:t>
      </w:r>
      <w:r w:rsidR="00FB6F3A" w:rsidRPr="00FB6F3A">
        <w:rPr>
          <w:rFonts w:ascii="Arial" w:hAnsi="Arial" w:cs="Arial"/>
          <w:color w:val="000000" w:themeColor="text1"/>
          <w:sz w:val="22"/>
          <w:szCs w:val="22"/>
        </w:rPr>
        <w:t xml:space="preserve"> </w:t>
      </w:r>
      <w:r w:rsidR="00FB6F3A" w:rsidRPr="00FB6F3A">
        <w:rPr>
          <w:rFonts w:ascii="Arial" w:eastAsia="Times New Roman" w:hAnsi="Arial" w:cs="Arial"/>
          <w:sz w:val="22"/>
          <w:szCs w:val="22"/>
          <w:lang w:eastAsia="pt-BR"/>
        </w:rPr>
        <w:t xml:space="preserve">Hospital De Dermatologia Sanitária Do Paraná (HDSPR), Hospital Infantil Waldemar </w:t>
      </w:r>
      <w:proofErr w:type="spellStart"/>
      <w:r w:rsidR="00FB6F3A" w:rsidRPr="00FB6F3A">
        <w:rPr>
          <w:rFonts w:ascii="Arial" w:eastAsia="Times New Roman" w:hAnsi="Arial" w:cs="Arial"/>
          <w:sz w:val="22"/>
          <w:szCs w:val="22"/>
          <w:lang w:eastAsia="pt-BR"/>
        </w:rPr>
        <w:t>Monastier</w:t>
      </w:r>
      <w:proofErr w:type="spellEnd"/>
      <w:r w:rsidR="00FB6F3A" w:rsidRPr="00FB6F3A">
        <w:rPr>
          <w:rFonts w:ascii="Arial" w:eastAsia="Times New Roman" w:hAnsi="Arial" w:cs="Arial"/>
          <w:sz w:val="22"/>
          <w:szCs w:val="22"/>
          <w:lang w:eastAsia="pt-BR"/>
        </w:rPr>
        <w:t xml:space="preserve"> (HIWM), Hospital Regional de Guaraqueçaba (HRG), Hospital Regional Do Litoral (HRL), Hospital Regional Norte Pioneiro (HRNP), Hospital Regional Walter Alberto </w:t>
      </w:r>
      <w:proofErr w:type="spellStart"/>
      <w:r w:rsidR="00FB6F3A" w:rsidRPr="00FB6F3A">
        <w:rPr>
          <w:rFonts w:ascii="Arial" w:eastAsia="Times New Roman" w:hAnsi="Arial" w:cs="Arial"/>
          <w:sz w:val="22"/>
          <w:szCs w:val="22"/>
          <w:lang w:eastAsia="pt-BR"/>
        </w:rPr>
        <w:t>Pecoits</w:t>
      </w:r>
      <w:proofErr w:type="spellEnd"/>
      <w:r w:rsidR="00FB6F3A" w:rsidRPr="00FB6F3A">
        <w:rPr>
          <w:rFonts w:ascii="Arial" w:eastAsia="Times New Roman" w:hAnsi="Arial" w:cs="Arial"/>
          <w:sz w:val="22"/>
          <w:szCs w:val="22"/>
          <w:lang w:eastAsia="pt-BR"/>
        </w:rPr>
        <w:t xml:space="preserve"> (HRSWAP), Hospital Zona Norte Londrina (HZN), Hospital Zona Sul Londrina (HZS), Hospital Regional Centro Oeste - Guarapuava (HRCO), Hospital Regional Ivaiporã (HRIV), Hospital Regional Telêmaco Borba (HRTB) e Hospital Colônia Adauto Botelho (HCAB),</w:t>
      </w:r>
      <w:r w:rsidR="00FB6F3A" w:rsidRPr="00FB6F3A">
        <w:rPr>
          <w:rFonts w:ascii="Arial" w:eastAsia="Arial" w:hAnsi="Arial" w:cs="Arial"/>
          <w:sz w:val="22"/>
          <w:szCs w:val="22"/>
        </w:rPr>
        <w:t xml:space="preserve"> </w:t>
      </w:r>
      <w:r w:rsidR="00FB6F3A" w:rsidRPr="00FB6F3A">
        <w:rPr>
          <w:rFonts w:ascii="Arial" w:hAnsi="Arial" w:cs="Arial"/>
          <w:sz w:val="22"/>
          <w:szCs w:val="22"/>
        </w:rPr>
        <w:t>conforme motivação abaixo:</w:t>
      </w:r>
    </w:p>
    <w:p w14:paraId="5639317C" w14:textId="77777777" w:rsidR="00FB6F3A" w:rsidRPr="00FB6F3A" w:rsidRDefault="00FB6F3A" w:rsidP="00FB6F3A">
      <w:pPr>
        <w:autoSpaceDE w:val="0"/>
        <w:autoSpaceDN w:val="0"/>
        <w:adjustRightInd w:val="0"/>
        <w:spacing w:line="360" w:lineRule="auto"/>
        <w:jc w:val="both"/>
        <w:rPr>
          <w:rFonts w:ascii="Arial" w:hAnsi="Arial" w:cs="Arial"/>
        </w:rPr>
      </w:pPr>
    </w:p>
    <w:p w14:paraId="6B2C4E51" w14:textId="77777777" w:rsidR="00FB6F3A" w:rsidRPr="00FB6F3A" w:rsidRDefault="00FB6F3A" w:rsidP="00FB6F3A">
      <w:pPr>
        <w:spacing w:after="103"/>
        <w:ind w:firstLine="1247"/>
        <w:jc w:val="both"/>
        <w:rPr>
          <w:rFonts w:ascii="Arial" w:hAnsi="Arial" w:cs="Arial"/>
          <w:b/>
          <w:bCs/>
        </w:rPr>
      </w:pPr>
      <w:r w:rsidRPr="00FB6F3A">
        <w:rPr>
          <w:rFonts w:ascii="Arial" w:hAnsi="Arial" w:cs="Arial"/>
          <w:b/>
          <w:bCs/>
        </w:rPr>
        <w:t>DA LEGITIMIDADE</w:t>
      </w:r>
    </w:p>
    <w:p w14:paraId="1DC56553" w14:textId="77777777" w:rsidR="00FB6F3A" w:rsidRPr="00FB6F3A" w:rsidRDefault="00FB6F3A" w:rsidP="00FB6F3A">
      <w:pPr>
        <w:spacing w:after="103"/>
        <w:ind w:firstLine="1247"/>
        <w:jc w:val="both"/>
        <w:rPr>
          <w:rFonts w:ascii="Arial" w:hAnsi="Arial" w:cs="Arial"/>
          <w:b/>
          <w:bCs/>
        </w:rPr>
      </w:pPr>
    </w:p>
    <w:p w14:paraId="38CCEA35" w14:textId="77777777" w:rsidR="00FB6F3A" w:rsidRPr="00FB6F3A" w:rsidRDefault="00FB6F3A" w:rsidP="00FB6F3A">
      <w:pPr>
        <w:tabs>
          <w:tab w:val="left" w:pos="0"/>
        </w:tabs>
        <w:spacing w:line="360" w:lineRule="auto"/>
        <w:ind w:firstLine="709"/>
        <w:jc w:val="both"/>
        <w:rPr>
          <w:rFonts w:ascii="Arial" w:hAnsi="Arial" w:cs="Arial"/>
        </w:rPr>
      </w:pPr>
      <w:r w:rsidRPr="00FB6F3A">
        <w:rPr>
          <w:rFonts w:ascii="Arial" w:hAnsi="Arial" w:cs="Arial"/>
        </w:rPr>
        <w:t xml:space="preserve">A Coordenação da Farmácia Hospitalar do Hospital Regional do Sudoeste Walter Alberto </w:t>
      </w:r>
      <w:proofErr w:type="spellStart"/>
      <w:r w:rsidRPr="00FB6F3A">
        <w:rPr>
          <w:rFonts w:ascii="Arial" w:hAnsi="Arial" w:cs="Arial"/>
        </w:rPr>
        <w:t>Pecoits</w:t>
      </w:r>
      <w:proofErr w:type="spellEnd"/>
      <w:r w:rsidRPr="00FB6F3A">
        <w:rPr>
          <w:rFonts w:ascii="Arial" w:hAnsi="Arial" w:cs="Arial"/>
        </w:rPr>
        <w:t xml:space="preserve">,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Infantil Waldemar </w:t>
      </w:r>
      <w:proofErr w:type="spellStart"/>
      <w:r w:rsidRPr="00FB6F3A">
        <w:rPr>
          <w:rFonts w:ascii="Arial" w:hAnsi="Arial" w:cs="Arial"/>
        </w:rPr>
        <w:t>Monastier</w:t>
      </w:r>
      <w:proofErr w:type="spellEnd"/>
      <w:r w:rsidRPr="00FB6F3A">
        <w:rPr>
          <w:rFonts w:ascii="Arial" w:hAnsi="Arial" w:cs="Arial"/>
        </w:rPr>
        <w:t xml:space="preserve"> (HIWM), Hospital Regional de Guaraqueçaba (HRG), Hospital Regional Do Litoral (HRL), Hospital Regional Norte Pioneiro (HRNP), Hospital Regional Walter Alberto </w:t>
      </w:r>
      <w:proofErr w:type="spellStart"/>
      <w:r w:rsidRPr="00FB6F3A">
        <w:rPr>
          <w:rFonts w:ascii="Arial" w:hAnsi="Arial" w:cs="Arial"/>
        </w:rPr>
        <w:t>Pecoits</w:t>
      </w:r>
      <w:proofErr w:type="spellEnd"/>
      <w:r w:rsidRPr="00FB6F3A">
        <w:rPr>
          <w:rFonts w:ascii="Arial" w:hAnsi="Arial" w:cs="Arial"/>
        </w:rPr>
        <w:t xml:space="preserve"> (HRSWAP), Hospital Zona Norte Londrina (HZN), Hospital Zona Sul Londrina (HZS), Hospital Regional Centro Oeste - Guarapuava (HRCO), Hospital Regional Ivaiporã (HRIV), Hospital Regional Telêmaco Borba (HRTB).</w:t>
      </w:r>
    </w:p>
    <w:p w14:paraId="2841D0EB" w14:textId="77777777" w:rsidR="00FB6F3A" w:rsidRPr="00FB6F3A" w:rsidRDefault="00FB6F3A" w:rsidP="00FB6F3A">
      <w:pPr>
        <w:tabs>
          <w:tab w:val="left" w:pos="0"/>
        </w:tabs>
        <w:spacing w:line="360" w:lineRule="auto"/>
        <w:ind w:firstLine="709"/>
        <w:jc w:val="both"/>
        <w:rPr>
          <w:rFonts w:ascii="Arial" w:hAnsi="Arial" w:cs="Arial"/>
        </w:rPr>
      </w:pPr>
      <w:r w:rsidRPr="00FB6F3A">
        <w:rPr>
          <w:rFonts w:ascii="Arial" w:hAnsi="Arial" w:cs="Arial"/>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7FF87CCB" w14:textId="77777777" w:rsidR="00FB6F3A" w:rsidRPr="00FB6F3A" w:rsidRDefault="00FB6F3A" w:rsidP="00FB6F3A">
      <w:pPr>
        <w:spacing w:after="103"/>
        <w:jc w:val="both"/>
        <w:rPr>
          <w:rFonts w:ascii="Arial" w:hAnsi="Arial" w:cs="Arial"/>
          <w:b/>
          <w:bCs/>
        </w:rPr>
      </w:pPr>
    </w:p>
    <w:p w14:paraId="7AD86523"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DA LEGALIDADE</w:t>
      </w:r>
    </w:p>
    <w:p w14:paraId="5AACF769"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389C4F30"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A licitação foi o meio encontrado pela Administração Pública, para tornar isonômica a participação de interessados em procedimentos que visam suprir as necessidades dos órgãos </w:t>
      </w:r>
      <w:r w:rsidRPr="00FB6F3A">
        <w:rPr>
          <w:rFonts w:ascii="Arial" w:hAnsi="Arial" w:cs="Arial"/>
        </w:rPr>
        <w:lastRenderedPageBreak/>
        <w:t xml:space="preserve">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FB6F3A">
        <w:rPr>
          <w:rFonts w:ascii="Arial" w:hAnsi="Arial" w:cs="Arial"/>
        </w:rPr>
        <w:t>verbis</w:t>
      </w:r>
      <w:proofErr w:type="spellEnd"/>
      <w:r w:rsidRPr="00FB6F3A">
        <w:rPr>
          <w:rFonts w:ascii="Arial" w:hAnsi="Arial" w:cs="Arial"/>
        </w:rPr>
        <w:t>:</w:t>
      </w:r>
    </w:p>
    <w:p w14:paraId="5F96A852" w14:textId="77777777" w:rsidR="00FB6F3A" w:rsidRPr="00FB6F3A" w:rsidRDefault="00FB6F3A" w:rsidP="00FB6F3A">
      <w:pPr>
        <w:spacing w:line="360" w:lineRule="auto"/>
        <w:ind w:firstLine="851"/>
        <w:jc w:val="both"/>
        <w:rPr>
          <w:rFonts w:ascii="Arial" w:hAnsi="Arial" w:cs="Arial"/>
        </w:rPr>
      </w:pPr>
    </w:p>
    <w:p w14:paraId="31C4415C" w14:textId="77777777" w:rsidR="00FB6F3A" w:rsidRPr="00FB6F3A" w:rsidRDefault="00FB6F3A" w:rsidP="00FB6F3A">
      <w:pPr>
        <w:ind w:left="2835"/>
        <w:jc w:val="both"/>
        <w:rPr>
          <w:rFonts w:ascii="Arial" w:hAnsi="Arial" w:cs="Arial"/>
        </w:rPr>
      </w:pPr>
      <w:r w:rsidRPr="00FB6F3A">
        <w:rPr>
          <w:rFonts w:ascii="Arial" w:hAnsi="Arial" w:cs="Arial"/>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510C2BA8" w14:textId="77777777" w:rsidR="00FB6F3A" w:rsidRPr="00FB6F3A" w:rsidRDefault="00FB6F3A" w:rsidP="00FB6F3A">
      <w:pPr>
        <w:ind w:left="2835"/>
        <w:jc w:val="both"/>
        <w:rPr>
          <w:rFonts w:ascii="Arial" w:hAnsi="Arial" w:cs="Arial"/>
        </w:rPr>
      </w:pPr>
    </w:p>
    <w:p w14:paraId="5AF39F93" w14:textId="77777777" w:rsidR="00FB6F3A" w:rsidRPr="00FB6F3A" w:rsidRDefault="00FB6F3A" w:rsidP="00FB6F3A">
      <w:pPr>
        <w:ind w:left="2835"/>
        <w:jc w:val="both"/>
        <w:rPr>
          <w:rFonts w:ascii="Arial" w:hAnsi="Arial" w:cs="Arial"/>
        </w:rPr>
      </w:pPr>
    </w:p>
    <w:p w14:paraId="4F3DB88C" w14:textId="77777777" w:rsidR="00FB6F3A" w:rsidRPr="00FB6F3A" w:rsidRDefault="00FB6F3A" w:rsidP="00FB6F3A">
      <w:pPr>
        <w:ind w:left="2835"/>
        <w:jc w:val="both"/>
        <w:rPr>
          <w:rFonts w:ascii="Arial" w:hAnsi="Arial" w:cs="Arial"/>
        </w:rPr>
      </w:pPr>
    </w:p>
    <w:p w14:paraId="0DDDAD27" w14:textId="77777777" w:rsidR="00FB6F3A" w:rsidRPr="00FB6F3A" w:rsidRDefault="00FB6F3A" w:rsidP="00FB6F3A">
      <w:pPr>
        <w:spacing w:after="103" w:line="360" w:lineRule="auto"/>
        <w:ind w:firstLine="851"/>
        <w:jc w:val="both"/>
        <w:rPr>
          <w:rFonts w:ascii="Arial" w:hAnsi="Arial" w:cs="Arial"/>
        </w:rPr>
      </w:pPr>
      <w:r w:rsidRPr="00FB6F3A">
        <w:rPr>
          <w:rFonts w:ascii="Arial" w:hAnsi="Arial" w:cs="Arial"/>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0C485FED" w14:textId="77777777" w:rsidR="00FB6F3A" w:rsidRPr="00FB6F3A" w:rsidRDefault="00FB6F3A" w:rsidP="00FB6F3A">
      <w:pPr>
        <w:autoSpaceDE w:val="0"/>
        <w:autoSpaceDN w:val="0"/>
        <w:adjustRightInd w:val="0"/>
        <w:rPr>
          <w:rFonts w:ascii="Arial" w:hAnsi="Arial" w:cs="Arial"/>
        </w:rPr>
      </w:pPr>
      <w:r w:rsidRPr="00FB6F3A">
        <w:rPr>
          <w:rFonts w:ascii="Arial" w:hAnsi="Arial" w:cs="Arial"/>
        </w:rPr>
        <w:t>Com fundamento no inciso V do art. 24 da Lei Federal nº 8.666/93, que expressa:</w:t>
      </w:r>
    </w:p>
    <w:p w14:paraId="4F94C7C3" w14:textId="77777777" w:rsidR="00FB6F3A" w:rsidRPr="00FB6F3A" w:rsidRDefault="00FB6F3A" w:rsidP="00FB6F3A">
      <w:pPr>
        <w:autoSpaceDE w:val="0"/>
        <w:autoSpaceDN w:val="0"/>
        <w:adjustRightInd w:val="0"/>
        <w:rPr>
          <w:rFonts w:ascii="Arial" w:hAnsi="Arial" w:cs="Arial"/>
        </w:rPr>
      </w:pPr>
    </w:p>
    <w:p w14:paraId="19C05451" w14:textId="77777777" w:rsidR="00FB6F3A" w:rsidRPr="00FB6F3A" w:rsidRDefault="00FB6F3A" w:rsidP="00FB6F3A">
      <w:pPr>
        <w:autoSpaceDE w:val="0"/>
        <w:autoSpaceDN w:val="0"/>
        <w:adjustRightInd w:val="0"/>
        <w:jc w:val="center"/>
        <w:rPr>
          <w:rFonts w:ascii="Arial" w:hAnsi="Arial" w:cs="Arial"/>
        </w:rPr>
      </w:pPr>
      <w:r w:rsidRPr="00FB6F3A">
        <w:rPr>
          <w:rFonts w:ascii="Arial" w:hAnsi="Arial" w:cs="Arial"/>
        </w:rPr>
        <w:t>Art. 24. É dispensável a licitação:</w:t>
      </w:r>
    </w:p>
    <w:p w14:paraId="026F5E0D" w14:textId="77777777" w:rsidR="00FB6F3A" w:rsidRPr="00FB6F3A" w:rsidRDefault="00FB6F3A" w:rsidP="00FB6F3A">
      <w:pPr>
        <w:autoSpaceDE w:val="0"/>
        <w:autoSpaceDN w:val="0"/>
        <w:adjustRightInd w:val="0"/>
        <w:jc w:val="center"/>
        <w:rPr>
          <w:rFonts w:ascii="Arial" w:hAnsi="Arial" w:cs="Arial"/>
        </w:rPr>
      </w:pPr>
    </w:p>
    <w:p w14:paraId="0577DC29" w14:textId="77777777" w:rsidR="00FB6F3A" w:rsidRPr="00B97495" w:rsidRDefault="00FB6F3A" w:rsidP="00FB6F3A">
      <w:pPr>
        <w:autoSpaceDE w:val="0"/>
        <w:autoSpaceDN w:val="0"/>
        <w:adjustRightInd w:val="0"/>
        <w:jc w:val="center"/>
        <w:rPr>
          <w:rFonts w:ascii="Arial" w:hAnsi="Arial" w:cs="Arial"/>
          <w:sz w:val="20"/>
        </w:rPr>
      </w:pPr>
      <w:r w:rsidRPr="00B97495">
        <w:rPr>
          <w:rFonts w:ascii="Arial" w:hAnsi="Arial" w:cs="Arial"/>
          <w:sz w:val="20"/>
        </w:rPr>
        <w:t>(...)</w:t>
      </w:r>
    </w:p>
    <w:p w14:paraId="6245D6A7" w14:textId="77777777" w:rsidR="00FB6F3A" w:rsidRPr="00B97495" w:rsidRDefault="00FB6F3A" w:rsidP="00FB6F3A">
      <w:pPr>
        <w:autoSpaceDE w:val="0"/>
        <w:autoSpaceDN w:val="0"/>
        <w:adjustRightInd w:val="0"/>
        <w:ind w:left="2835"/>
        <w:jc w:val="both"/>
        <w:rPr>
          <w:rFonts w:ascii="Arial" w:hAnsi="Arial" w:cs="Arial"/>
          <w:i/>
        </w:rPr>
      </w:pPr>
      <w:r w:rsidRPr="00B97495">
        <w:rPr>
          <w:rFonts w:ascii="Arial" w:hAnsi="Arial" w:cs="Arial"/>
          <w:i/>
        </w:rPr>
        <w:t xml:space="preserve">V - </w:t>
      </w:r>
      <w:proofErr w:type="gramStart"/>
      <w:r w:rsidRPr="00B97495">
        <w:rPr>
          <w:rFonts w:ascii="Arial" w:hAnsi="Arial" w:cs="Arial"/>
          <w:i/>
        </w:rPr>
        <w:t>quando</w:t>
      </w:r>
      <w:proofErr w:type="gramEnd"/>
      <w:r w:rsidRPr="00B97495">
        <w:rPr>
          <w:rFonts w:ascii="Arial" w:hAnsi="Arial" w:cs="Arial"/>
          <w:i/>
        </w:rPr>
        <w:t xml:space="preserve"> não acudirem interessados à licitação anterior e está, justificadamente, não puder ser repetida sem prejuízo para a Administração, mantidas, neste caso, todas as condições preestabelecidas;</w:t>
      </w:r>
    </w:p>
    <w:p w14:paraId="2C48B9A0" w14:textId="77777777" w:rsidR="00FB6F3A" w:rsidRPr="00FB6F3A" w:rsidRDefault="00FB6F3A" w:rsidP="00FB6F3A">
      <w:pPr>
        <w:autoSpaceDE w:val="0"/>
        <w:autoSpaceDN w:val="0"/>
        <w:adjustRightInd w:val="0"/>
        <w:ind w:left="2835"/>
        <w:jc w:val="both"/>
        <w:rPr>
          <w:rStyle w:val="hgkelc"/>
          <w:rFonts w:ascii="Arial" w:hAnsi="Arial" w:cs="Arial"/>
          <w:i/>
        </w:rPr>
      </w:pPr>
    </w:p>
    <w:p w14:paraId="7D05E811" w14:textId="77777777" w:rsidR="00FB6F3A" w:rsidRPr="00FB6F3A" w:rsidRDefault="00FB6F3A" w:rsidP="00FB6F3A">
      <w:pPr>
        <w:spacing w:line="360" w:lineRule="auto"/>
        <w:ind w:firstLine="717"/>
        <w:jc w:val="both"/>
        <w:rPr>
          <w:rFonts w:ascii="Arial" w:hAnsi="Arial" w:cs="Arial"/>
        </w:rPr>
      </w:pPr>
      <w:r w:rsidRPr="00FB6F3A">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66A4D62D" w14:textId="77777777" w:rsidR="00FB6F3A" w:rsidRPr="00FB6F3A" w:rsidRDefault="00FB6F3A" w:rsidP="00FB6F3A">
      <w:pPr>
        <w:spacing w:line="360" w:lineRule="auto"/>
        <w:ind w:firstLine="717"/>
        <w:jc w:val="both"/>
        <w:rPr>
          <w:rFonts w:ascii="Arial" w:hAnsi="Arial" w:cs="Arial"/>
        </w:rPr>
      </w:pPr>
      <w:r w:rsidRPr="00FB6F3A">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5CB95BE1" w14:textId="77777777" w:rsidR="00FB6F3A" w:rsidRPr="00FB6F3A" w:rsidRDefault="00FB6F3A" w:rsidP="00FB6F3A">
      <w:pPr>
        <w:spacing w:line="360" w:lineRule="auto"/>
        <w:ind w:firstLine="851"/>
        <w:jc w:val="both"/>
        <w:rPr>
          <w:rFonts w:ascii="Arial" w:hAnsi="Arial" w:cs="Arial"/>
          <w:b/>
        </w:rPr>
      </w:pPr>
      <w:r w:rsidRPr="00FB6F3A">
        <w:rPr>
          <w:rFonts w:ascii="Arial" w:hAnsi="Arial" w:cs="Arial"/>
        </w:rPr>
        <w:lastRenderedPageBreak/>
        <w:t xml:space="preserve">As compras públicas regem-se pela Lei Federal nº 8.666/93, Lei Estadual nº 15.608/2007, Lei Federal nº 10.520/2002, e demais regulamentações, e assim, solicita-se </w:t>
      </w:r>
      <w:r w:rsidRPr="00FB6F3A">
        <w:rPr>
          <w:rFonts w:ascii="Arial" w:hAnsi="Arial" w:cs="Arial"/>
          <w:b/>
        </w:rPr>
        <w:t xml:space="preserve">Dispensa de Licitação. </w:t>
      </w:r>
    </w:p>
    <w:p w14:paraId="4E06B748"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72B21840" w14:textId="77777777" w:rsidR="00FB6F3A" w:rsidRPr="00FB6F3A" w:rsidRDefault="00FB6F3A" w:rsidP="00FB6F3A">
      <w:pPr>
        <w:spacing w:line="360" w:lineRule="auto"/>
        <w:jc w:val="both"/>
        <w:rPr>
          <w:rFonts w:ascii="Arial" w:hAnsi="Arial" w:cs="Arial"/>
        </w:rPr>
      </w:pPr>
    </w:p>
    <w:p w14:paraId="355939F3" w14:textId="77777777" w:rsidR="00FB6F3A" w:rsidRPr="00FB6F3A" w:rsidRDefault="00FB6F3A" w:rsidP="00FB6F3A">
      <w:pPr>
        <w:spacing w:after="103" w:line="360" w:lineRule="auto"/>
        <w:jc w:val="both"/>
        <w:rPr>
          <w:rFonts w:ascii="Arial" w:hAnsi="Arial" w:cs="Arial"/>
          <w:b/>
          <w:bCs/>
          <w:u w:val="single"/>
        </w:rPr>
      </w:pPr>
      <w:r w:rsidRPr="00FB6F3A">
        <w:rPr>
          <w:rFonts w:ascii="Arial" w:hAnsi="Arial" w:cs="Arial"/>
          <w:u w:val="single"/>
        </w:rPr>
        <w:t xml:space="preserve">- </w:t>
      </w:r>
      <w:r w:rsidRPr="00FB6F3A">
        <w:rPr>
          <w:rFonts w:ascii="Arial" w:hAnsi="Arial" w:cs="Arial"/>
          <w:b/>
          <w:bCs/>
          <w:u w:val="single"/>
        </w:rPr>
        <w:t>LICITAÇÃO DESERTA</w:t>
      </w:r>
    </w:p>
    <w:p w14:paraId="3B10EBEE" w14:textId="77777777" w:rsidR="00FB6F3A" w:rsidRPr="00FB6F3A" w:rsidRDefault="00FB6F3A" w:rsidP="00FB6F3A">
      <w:pPr>
        <w:spacing w:after="103" w:line="360" w:lineRule="auto"/>
        <w:jc w:val="both"/>
        <w:rPr>
          <w:rFonts w:ascii="Arial" w:hAnsi="Arial" w:cs="Arial"/>
          <w:b/>
          <w:bCs/>
          <w:u w:val="single"/>
        </w:rPr>
      </w:pPr>
    </w:p>
    <w:p w14:paraId="1337DC56" w14:textId="77777777" w:rsidR="00FB6F3A" w:rsidRPr="00FB6F3A" w:rsidRDefault="00FB6F3A" w:rsidP="00FB6F3A">
      <w:pPr>
        <w:spacing w:after="103" w:line="360" w:lineRule="auto"/>
        <w:ind w:firstLine="1247"/>
        <w:jc w:val="both"/>
        <w:rPr>
          <w:rFonts w:ascii="Arial" w:hAnsi="Arial" w:cs="Arial"/>
        </w:rPr>
      </w:pPr>
      <w:r w:rsidRPr="00FB6F3A">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610C7EAC" w14:textId="77777777" w:rsidR="00FB6F3A" w:rsidRPr="00FB6F3A" w:rsidRDefault="00FB6F3A" w:rsidP="00FB6F3A">
      <w:pPr>
        <w:spacing w:after="103" w:line="360" w:lineRule="auto"/>
        <w:ind w:firstLine="1247"/>
        <w:jc w:val="both"/>
        <w:rPr>
          <w:rFonts w:ascii="Arial" w:hAnsi="Arial" w:cs="Arial"/>
          <w:b/>
          <w:bCs/>
        </w:rPr>
      </w:pPr>
      <w:r w:rsidRPr="00FB6F3A">
        <w:rPr>
          <w:rStyle w:val="hgkelc"/>
          <w:rFonts w:ascii="Arial" w:hAnsi="Arial" w:cs="Arial"/>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FB6F3A">
        <w:rPr>
          <w:rFonts w:ascii="Arial" w:hAnsi="Arial" w:cs="Arial"/>
        </w:rPr>
        <w:t>15.608/2007.</w:t>
      </w:r>
    </w:p>
    <w:p w14:paraId="37646580"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xml:space="preserve">Jorge Ulisses </w:t>
      </w:r>
      <w:proofErr w:type="spellStart"/>
      <w:r w:rsidRPr="00B97495">
        <w:rPr>
          <w:rFonts w:ascii="Arial" w:hAnsi="Arial" w:cs="Arial"/>
          <w:bCs/>
          <w:sz w:val="18"/>
          <w:szCs w:val="20"/>
        </w:rPr>
        <w:t>Jacoby</w:t>
      </w:r>
      <w:proofErr w:type="spellEnd"/>
      <w:r w:rsidRPr="00B97495">
        <w:rPr>
          <w:rFonts w:ascii="Arial" w:hAnsi="Arial" w:cs="Arial"/>
          <w:bCs/>
          <w:sz w:val="18"/>
          <w:szCs w:val="20"/>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B97495">
        <w:rPr>
          <w:rFonts w:ascii="Arial" w:hAnsi="Arial" w:cs="Arial"/>
          <w:bCs/>
          <w:sz w:val="18"/>
          <w:szCs w:val="20"/>
        </w:rPr>
        <w:t>Niebuhr</w:t>
      </w:r>
      <w:proofErr w:type="spellEnd"/>
      <w:r w:rsidRPr="00B97495">
        <w:rPr>
          <w:rFonts w:ascii="Arial" w:hAnsi="Arial" w:cs="Arial"/>
          <w:bCs/>
          <w:sz w:val="18"/>
          <w:szCs w:val="20"/>
        </w:rPr>
        <w:t>):</w:t>
      </w:r>
    </w:p>
    <w:p w14:paraId="2196B140"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“a) inciso V:</w:t>
      </w:r>
    </w:p>
    <w:p w14:paraId="2D1A9E3F"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A licitação foi fracassada, não importando a causa da desclassificação: preços superiores, inferiores, inabilitação, etc.;</w:t>
      </w:r>
    </w:p>
    <w:p w14:paraId="7135A0FD"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Há risco de prejuízo na repetição da licitação;</w:t>
      </w:r>
    </w:p>
    <w:p w14:paraId="316DFC67"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Não é obrigatório pedir novas propostas.</w:t>
      </w:r>
    </w:p>
    <w:p w14:paraId="6378C3DF" w14:textId="77777777" w:rsidR="00FB6F3A" w:rsidRPr="00B97495" w:rsidRDefault="00FB6F3A" w:rsidP="00FB6F3A">
      <w:pPr>
        <w:spacing w:after="0"/>
        <w:ind w:left="2835"/>
        <w:jc w:val="both"/>
        <w:rPr>
          <w:rFonts w:ascii="Arial" w:hAnsi="Arial" w:cs="Arial"/>
          <w:bCs/>
          <w:sz w:val="18"/>
          <w:szCs w:val="20"/>
        </w:rPr>
      </w:pPr>
      <w:r w:rsidRPr="00B97495">
        <w:rPr>
          <w:rFonts w:ascii="Arial" w:hAnsi="Arial" w:cs="Arial"/>
          <w:bCs/>
          <w:sz w:val="18"/>
          <w:szCs w:val="20"/>
        </w:rPr>
        <w:t xml:space="preserve"> Fonte:  ( APUD: JOHNSTON BARBOSA ARAUJO, ALDEM: Contratações Motivadas por licitações desertas e fracassadas; Âmbito Jurídico, link: </w:t>
      </w:r>
      <w:hyperlink r:id="rId8" w:history="1">
        <w:r w:rsidRPr="00B97495">
          <w:rPr>
            <w:rStyle w:val="Hyperlink"/>
            <w:rFonts w:ascii="Arial" w:hAnsi="Arial" w:cs="Arial"/>
            <w:bCs/>
            <w:sz w:val="18"/>
            <w:szCs w:val="20"/>
          </w:rPr>
          <w:t>https://ambitojuridico.com.br/cadernos/direito-administrativo/contratacoes-motivadas-por-licitacoes-desertas-e-fracassadas/</w:t>
        </w:r>
      </w:hyperlink>
      <w:r w:rsidRPr="00B97495">
        <w:rPr>
          <w:rFonts w:ascii="Arial" w:hAnsi="Arial" w:cs="Arial"/>
          <w:bCs/>
          <w:sz w:val="18"/>
          <w:szCs w:val="20"/>
        </w:rPr>
        <w:t>.)</w:t>
      </w:r>
    </w:p>
    <w:p w14:paraId="2AFF34A7" w14:textId="77777777" w:rsidR="00FB6F3A" w:rsidRPr="00FB6F3A" w:rsidRDefault="00FB6F3A" w:rsidP="00FB6F3A">
      <w:pPr>
        <w:spacing w:line="360" w:lineRule="auto"/>
        <w:jc w:val="both"/>
        <w:rPr>
          <w:rFonts w:ascii="Arial" w:hAnsi="Arial" w:cs="Arial"/>
        </w:rPr>
      </w:pPr>
    </w:p>
    <w:p w14:paraId="1B93C110" w14:textId="77777777" w:rsidR="00FB6F3A" w:rsidRPr="00FB6F3A" w:rsidRDefault="00FB6F3A" w:rsidP="00FB6F3A">
      <w:pPr>
        <w:spacing w:after="103" w:line="360" w:lineRule="auto"/>
        <w:ind w:firstLine="1134"/>
        <w:jc w:val="both"/>
        <w:rPr>
          <w:rFonts w:ascii="Arial" w:hAnsi="Arial" w:cs="Arial"/>
        </w:rPr>
      </w:pPr>
      <w:r w:rsidRPr="00FB6F3A">
        <w:rPr>
          <w:rFonts w:ascii="Arial" w:hAnsi="Arial" w:cs="Arial"/>
        </w:rPr>
        <w:t xml:space="preserve"> </w:t>
      </w:r>
    </w:p>
    <w:p w14:paraId="0E6246DA"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DO INTERESSE PÚBLICO</w:t>
      </w:r>
    </w:p>
    <w:p w14:paraId="6B44C9F9" w14:textId="77777777" w:rsidR="00FB6F3A" w:rsidRPr="00FB6F3A" w:rsidRDefault="00FB6F3A" w:rsidP="00FB6F3A">
      <w:pPr>
        <w:spacing w:line="360" w:lineRule="auto"/>
        <w:ind w:firstLine="851"/>
        <w:jc w:val="both"/>
        <w:rPr>
          <w:rFonts w:ascii="Arial" w:hAnsi="Arial" w:cs="Arial"/>
          <w:b/>
          <w:bCs/>
        </w:rPr>
      </w:pPr>
      <w:r w:rsidRPr="00FB6F3A">
        <w:rPr>
          <w:rFonts w:ascii="Arial" w:hAnsi="Arial" w:cs="Arial"/>
        </w:rPr>
        <w:lastRenderedPageBreak/>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 soros a fim de atender todos os pacientes de forma integral, levando em conta o quadro clínico e/ou patologia, conforme avaliação médica.</w:t>
      </w:r>
    </w:p>
    <w:p w14:paraId="490538D0"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68615801"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A </w:t>
      </w:r>
      <w:r w:rsidRPr="00FB6F3A">
        <w:rPr>
          <w:rFonts w:ascii="Arial" w:hAnsi="Arial" w:cs="Arial"/>
          <w:b/>
          <w:bCs/>
        </w:rPr>
        <w:t>Fundação Estatal de Atenção em Saúde do Estado do Paraná - FUNEAS</w:t>
      </w:r>
      <w:r w:rsidRPr="00FB6F3A">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5B47259E"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Infantil Waldemar </w:t>
      </w:r>
      <w:proofErr w:type="spellStart"/>
      <w:r w:rsidRPr="00FB6F3A">
        <w:rPr>
          <w:rFonts w:ascii="Arial" w:hAnsi="Arial" w:cs="Arial"/>
          <w:b/>
          <w:bCs/>
        </w:rPr>
        <w:t>Monastier</w:t>
      </w:r>
      <w:proofErr w:type="spellEnd"/>
      <w:r w:rsidRPr="00FB6F3A">
        <w:rPr>
          <w:rFonts w:ascii="Arial" w:hAnsi="Arial" w:cs="Arial"/>
          <w:b/>
          <w:bCs/>
        </w:rPr>
        <w:t xml:space="preserve"> - HIWM</w:t>
      </w:r>
      <w:r w:rsidRPr="00FB6F3A">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537AF816"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Regional de Guaraqueçaba – HRG </w:t>
      </w:r>
      <w:r w:rsidRPr="00FB6F3A">
        <w:rPr>
          <w:rFonts w:ascii="Arial" w:hAnsi="Arial" w:cs="Arial"/>
        </w:rPr>
        <w:t>possui estrutura com 14 leitos, dentre eles, 6 leitos clínica geral, 4 leitos para obstetrícia (clínica e cirúrgica), 2 leitos para psiquiatria e 2 leitos para pediatria clínica. A unidade hospitalar atende um complexo de ilhas e distritos em uma grande área de difícil acesso, sendo o primeiro atendimento de urgências e emergências nessas localidades, além de atendimentos ambulatoriais e internamentos.</w:t>
      </w:r>
    </w:p>
    <w:p w14:paraId="2F8C4E18"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do Litoral – HRL</w:t>
      </w:r>
      <w:r w:rsidRPr="00FB6F3A">
        <w:rPr>
          <w:rFonts w:ascii="Arial" w:hAnsi="Arial" w:cs="Arial"/>
        </w:rPr>
        <w:t xml:space="preserve"> é o quarto maior Hospital Público do Governo do Estado do Paraná mantido pela SESA e gestão executada pela FUNEAS, voltado para atendimento </w:t>
      </w:r>
      <w:r w:rsidRPr="00FB6F3A">
        <w:rPr>
          <w:rFonts w:ascii="Arial" w:hAnsi="Arial" w:cs="Arial"/>
        </w:rPr>
        <w:lastRenderedPageBreak/>
        <w:t xml:space="preserve">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349CA9FD"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do Norte Pioneiro – HRNP</w:t>
      </w:r>
      <w:r w:rsidRPr="00FB6F3A">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79321C62"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Regional do Sudoeste – HRS </w:t>
      </w:r>
      <w:r w:rsidRPr="00FB6F3A">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FB6F3A">
        <w:rPr>
          <w:rFonts w:ascii="Arial" w:hAnsi="Arial" w:cs="Arial"/>
        </w:rPr>
        <w:t>Bucomaxilo</w:t>
      </w:r>
      <w:proofErr w:type="spellEnd"/>
      <w:r w:rsidRPr="00FB6F3A">
        <w:rPr>
          <w:rFonts w:ascii="Arial" w:hAnsi="Arial" w:cs="Arial"/>
        </w:rPr>
        <w:t xml:space="preserve">, e ainda sendo referência incontestável para SAMU, SIATE e Complexo Regulador Estadual Macro Oeste, contemplando aproximadamente 600.000 habitantes. </w:t>
      </w:r>
    </w:p>
    <w:p w14:paraId="1A2A0BBE"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 xml:space="preserve">Hospital </w:t>
      </w:r>
      <w:proofErr w:type="spellStart"/>
      <w:r w:rsidRPr="00FB6F3A">
        <w:rPr>
          <w:rFonts w:ascii="Arial" w:hAnsi="Arial" w:cs="Arial"/>
          <w:b/>
          <w:bCs/>
        </w:rPr>
        <w:t>Eulalino</w:t>
      </w:r>
      <w:proofErr w:type="spellEnd"/>
      <w:r w:rsidRPr="00FB6F3A">
        <w:rPr>
          <w:rFonts w:ascii="Arial" w:hAnsi="Arial" w:cs="Arial"/>
          <w:b/>
          <w:bCs/>
        </w:rPr>
        <w:t xml:space="preserve"> Ignácio de Andrade – HZS</w:t>
      </w:r>
      <w:r w:rsidRPr="00FB6F3A">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5A1135C3"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do Centro Oeste - HRCO</w:t>
      </w:r>
      <w:r w:rsidRPr="00FB6F3A">
        <w:rPr>
          <w:rFonts w:ascii="Arial" w:hAnsi="Arial" w:cs="Arial"/>
        </w:rPr>
        <w:t>, é uma unidade própria da Secretaria de Estado da Saúde, com atendimento exclusivo aos Usuários do SUS, com quadro compatível com a infecção por corona vírus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61486D74"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lastRenderedPageBreak/>
        <w:t xml:space="preserve">O </w:t>
      </w:r>
      <w:r w:rsidRPr="00FB6F3A">
        <w:rPr>
          <w:rFonts w:ascii="Arial" w:hAnsi="Arial" w:cs="Arial"/>
          <w:b/>
          <w:bCs/>
        </w:rPr>
        <w:t>Hospital Regional de Ivaiporã - HRIV</w:t>
      </w:r>
      <w:r w:rsidRPr="00FB6F3A">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329BDF65"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Regional de Telêmaco Borba - HRTB</w:t>
      </w:r>
      <w:r w:rsidRPr="00FB6F3A">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4CEC93C0" w14:textId="5ED8B98A" w:rsidR="00FB6F3A" w:rsidRPr="00FB6F3A" w:rsidRDefault="00FB6F3A" w:rsidP="00BF7113">
      <w:pPr>
        <w:spacing w:line="360" w:lineRule="auto"/>
        <w:ind w:firstLine="851"/>
        <w:jc w:val="both"/>
        <w:rPr>
          <w:rFonts w:ascii="Arial" w:hAnsi="Arial" w:cs="Arial"/>
        </w:rPr>
      </w:pPr>
      <w:r w:rsidRPr="00FB6F3A">
        <w:rPr>
          <w:rFonts w:ascii="Arial" w:hAnsi="Arial" w:cs="Arial"/>
        </w:rPr>
        <w:t xml:space="preserve">O </w:t>
      </w:r>
      <w:r w:rsidRPr="00FB6F3A">
        <w:rPr>
          <w:rFonts w:ascii="Arial" w:hAnsi="Arial" w:cs="Arial"/>
          <w:b/>
          <w:bCs/>
        </w:rPr>
        <w:t>Hospital Colônia Adauto Botelho</w:t>
      </w:r>
      <w:r w:rsidRPr="00FB6F3A">
        <w:rPr>
          <w:rFonts w:ascii="Arial" w:hAnsi="Arial" w:cs="Arial"/>
        </w:rPr>
        <w:t xml:space="preserve"> </w:t>
      </w:r>
      <w:r w:rsidRPr="00FB6F3A">
        <w:rPr>
          <w:rFonts w:ascii="Arial" w:hAnsi="Arial" w:cs="Arial"/>
          <w:b/>
          <w:bCs/>
        </w:rPr>
        <w:t>- HCAB</w:t>
      </w:r>
      <w:r w:rsidRPr="00FB6F3A">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41FA11C0" w14:textId="2AA03331" w:rsidR="00B97495" w:rsidRPr="00FB6F3A" w:rsidRDefault="00FB6F3A" w:rsidP="00BF7113">
      <w:pPr>
        <w:spacing w:after="103" w:line="360" w:lineRule="auto"/>
        <w:ind w:firstLine="851"/>
        <w:jc w:val="both"/>
        <w:rPr>
          <w:rFonts w:ascii="Arial" w:hAnsi="Arial" w:cs="Arial"/>
        </w:rPr>
      </w:pPr>
      <w:r w:rsidRPr="00FB6F3A">
        <w:rPr>
          <w:rFonts w:ascii="Arial" w:hAnsi="Arial" w:cs="Arial"/>
        </w:rPr>
        <w:t>Os quantitativos foram definidos por preenchimento da planilha onde o farmacêutico realizou o preenchimento com os quantitativos, extraídos de acordo com os relatórios de consumo médio mensal (C.M.M), sazonalidade e ponto de ressuprimento.</w:t>
      </w:r>
    </w:p>
    <w:p w14:paraId="62731CE8" w14:textId="77777777" w:rsidR="00FB6F3A" w:rsidRPr="00FB6F3A" w:rsidRDefault="00FB6F3A" w:rsidP="00FB6F3A">
      <w:pPr>
        <w:spacing w:after="103" w:line="360" w:lineRule="auto"/>
        <w:ind w:firstLine="1418"/>
        <w:jc w:val="both"/>
        <w:rPr>
          <w:rFonts w:ascii="Arial" w:hAnsi="Arial" w:cs="Arial"/>
        </w:rPr>
      </w:pPr>
    </w:p>
    <w:p w14:paraId="7528C95E"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DOS BENEFÍCIOS</w:t>
      </w:r>
    </w:p>
    <w:p w14:paraId="38C21A3A" w14:textId="77777777" w:rsidR="00FB6F3A" w:rsidRPr="00FB6F3A" w:rsidRDefault="00FB6F3A" w:rsidP="00FB6F3A">
      <w:pPr>
        <w:spacing w:after="103" w:line="360" w:lineRule="auto"/>
        <w:jc w:val="both"/>
        <w:rPr>
          <w:rFonts w:ascii="Arial" w:hAnsi="Arial" w:cs="Arial"/>
        </w:rPr>
      </w:pPr>
      <w:r w:rsidRPr="00FB6F3A">
        <w:rPr>
          <w:rFonts w:ascii="Arial" w:hAnsi="Arial" w:cs="Arial"/>
        </w:rPr>
        <w:t xml:space="preserve">                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0974FF50"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t xml:space="preserve">         Considerando que a assistência em saúde é garantida pelo Sistema Único de Saúde (SUS), e para isto os medicamentos padronizados nas Unidades devem estar disponíveis para os tratamentos farmacológicos.</w:t>
      </w:r>
    </w:p>
    <w:p w14:paraId="6873442D"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lastRenderedPageBreak/>
        <w:t xml:space="preserve">        Considerando as classes farmacológicas presente neste processo, utilizadas para a execução dos procedimentos, ou seja, impactando diretamente na segurança e tratamento do paciente;</w:t>
      </w:r>
    </w:p>
    <w:p w14:paraId="290B6151" w14:textId="77777777" w:rsidR="00FB6F3A" w:rsidRPr="00FB6F3A" w:rsidRDefault="00FB6F3A" w:rsidP="00FB6F3A">
      <w:pPr>
        <w:spacing w:line="360" w:lineRule="auto"/>
        <w:ind w:firstLine="426"/>
        <w:jc w:val="both"/>
        <w:rPr>
          <w:rFonts w:ascii="Arial" w:hAnsi="Arial" w:cs="Arial"/>
        </w:rPr>
      </w:pPr>
      <w:r w:rsidRPr="00FB6F3A">
        <w:rPr>
          <w:rFonts w:ascii="Arial" w:hAnsi="Arial" w:cs="Arial"/>
        </w:rPr>
        <w:t xml:space="preserv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w:t>
      </w:r>
    </w:p>
    <w:p w14:paraId="34A13AA4" w14:textId="77777777" w:rsidR="00FB6F3A" w:rsidRPr="00FB6F3A" w:rsidRDefault="00FB6F3A" w:rsidP="00FB6F3A">
      <w:pPr>
        <w:pStyle w:val="PargrafodaLista"/>
        <w:numPr>
          <w:ilvl w:val="0"/>
          <w:numId w:val="28"/>
        </w:numPr>
        <w:suppressAutoHyphens w:val="0"/>
        <w:spacing w:line="360" w:lineRule="auto"/>
        <w:jc w:val="both"/>
        <w:rPr>
          <w:rFonts w:ascii="Arial" w:hAnsi="Arial" w:cs="Arial"/>
          <w:b/>
          <w:sz w:val="22"/>
          <w:szCs w:val="22"/>
        </w:rPr>
      </w:pPr>
      <w:proofErr w:type="spellStart"/>
      <w:r w:rsidRPr="00FB6F3A">
        <w:rPr>
          <w:rFonts w:ascii="Arial" w:hAnsi="Arial" w:cs="Arial"/>
          <w:b/>
          <w:sz w:val="22"/>
          <w:szCs w:val="22"/>
        </w:rPr>
        <w:t>Cefotaxima</w:t>
      </w:r>
      <w:proofErr w:type="spellEnd"/>
      <w:r w:rsidRPr="00FB6F3A">
        <w:rPr>
          <w:rFonts w:ascii="Arial" w:hAnsi="Arial" w:cs="Arial"/>
          <w:b/>
          <w:sz w:val="22"/>
          <w:szCs w:val="22"/>
        </w:rPr>
        <w:t xml:space="preserve"> Sódica: </w:t>
      </w:r>
      <w:r w:rsidRPr="00FB6F3A">
        <w:rPr>
          <w:rFonts w:ascii="Arial" w:hAnsi="Arial" w:cs="Arial"/>
          <w:sz w:val="22"/>
          <w:szCs w:val="22"/>
        </w:rPr>
        <w:t xml:space="preserve">é um antibiótico </w:t>
      </w:r>
      <w:proofErr w:type="spellStart"/>
      <w:r w:rsidRPr="00FB6F3A">
        <w:rPr>
          <w:rFonts w:ascii="Arial" w:hAnsi="Arial" w:cs="Arial"/>
          <w:sz w:val="22"/>
          <w:szCs w:val="22"/>
        </w:rPr>
        <w:t>cefalosporínico</w:t>
      </w:r>
      <w:proofErr w:type="spellEnd"/>
      <w:r w:rsidRPr="00FB6F3A">
        <w:rPr>
          <w:rFonts w:ascii="Arial" w:hAnsi="Arial" w:cs="Arial"/>
          <w:sz w:val="22"/>
          <w:szCs w:val="22"/>
        </w:rPr>
        <w:t xml:space="preserve"> de terceira geração, com atividade contra microrganismos Gram-positivos e Gram-negativos. É destinado ao tratamento de infecções por microrganismos sensíveis à </w:t>
      </w:r>
      <w:proofErr w:type="spellStart"/>
      <w:r w:rsidRPr="00FB6F3A">
        <w:rPr>
          <w:rFonts w:ascii="Arial" w:hAnsi="Arial" w:cs="Arial"/>
          <w:sz w:val="22"/>
          <w:szCs w:val="22"/>
        </w:rPr>
        <w:t>cefotaxima</w:t>
      </w:r>
      <w:proofErr w:type="spellEnd"/>
      <w:r w:rsidRPr="00FB6F3A">
        <w:rPr>
          <w:rFonts w:ascii="Arial" w:hAnsi="Arial" w:cs="Arial"/>
          <w:sz w:val="22"/>
          <w:szCs w:val="22"/>
        </w:rPr>
        <w:t xml:space="preserve"> sódica.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080E462F"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85373B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Lote 01</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48B91B8"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9620FF2"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20A710F"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A0247D"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2BA4B9A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6973519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24B49CFE" w14:textId="77777777" w:rsidTr="00FB6F3A">
        <w:trPr>
          <w:cantSplit/>
          <w:trHeight w:val="283"/>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6A72642"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57379C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6501-318</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A12E1C3"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268411</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716BF165" w14:textId="77777777" w:rsidR="00FB6F3A" w:rsidRPr="00FB6F3A" w:rsidRDefault="00FB6F3A" w:rsidP="00FB6F3A">
            <w:pPr>
              <w:pStyle w:val="Default"/>
              <w:jc w:val="center"/>
              <w:rPr>
                <w:sz w:val="20"/>
                <w:szCs w:val="20"/>
              </w:rPr>
            </w:pPr>
            <w:proofErr w:type="spellStart"/>
            <w:proofErr w:type="gramStart"/>
            <w:r w:rsidRPr="00FB6F3A">
              <w:rPr>
                <w:sz w:val="20"/>
                <w:szCs w:val="20"/>
              </w:rPr>
              <w:t>Cefotaxima</w:t>
            </w:r>
            <w:proofErr w:type="spellEnd"/>
            <w:r w:rsidRPr="00FB6F3A">
              <w:rPr>
                <w:sz w:val="20"/>
                <w:szCs w:val="20"/>
              </w:rPr>
              <w:t xml:space="preserve"> Sódica</w:t>
            </w:r>
            <w:proofErr w:type="gramEnd"/>
            <w:r w:rsidRPr="00FB6F3A">
              <w:rPr>
                <w:sz w:val="20"/>
                <w:szCs w:val="20"/>
              </w:rPr>
              <w:t xml:space="preserve">, 1 g, Pó para solução injetável, Frasco-ampola, VIA DE ADMINISTRAÇÃO: Intramuscular/Intravenosa, UNID. DE MEDIDA: Unitário </w:t>
            </w:r>
          </w:p>
          <w:p w14:paraId="55189DA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C66354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6817353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50</w:t>
            </w:r>
          </w:p>
        </w:tc>
        <w:tc>
          <w:tcPr>
            <w:tcW w:w="955" w:type="dxa"/>
            <w:tcBorders>
              <w:top w:val="single" w:sz="4" w:space="0" w:color="auto"/>
              <w:left w:val="single" w:sz="4" w:space="0" w:color="auto"/>
              <w:bottom w:val="single" w:sz="4" w:space="0" w:color="auto"/>
              <w:right w:val="single" w:sz="4" w:space="0" w:color="auto"/>
            </w:tcBorders>
            <w:vAlign w:val="center"/>
            <w:hideMark/>
          </w:tcPr>
          <w:p w14:paraId="5D6271C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600</w:t>
            </w:r>
          </w:p>
        </w:tc>
      </w:tr>
      <w:tr w:rsidR="00FB6F3A" w:rsidRPr="00FB6F3A" w14:paraId="099EA202"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FF775BE"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36CE014"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DD21E0"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8697A93"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19017F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HRG</w:t>
            </w:r>
          </w:p>
        </w:tc>
        <w:tc>
          <w:tcPr>
            <w:tcW w:w="732" w:type="dxa"/>
            <w:tcBorders>
              <w:top w:val="single" w:sz="4" w:space="0" w:color="auto"/>
              <w:left w:val="single" w:sz="4" w:space="0" w:color="auto"/>
              <w:bottom w:val="single" w:sz="4" w:space="0" w:color="auto"/>
              <w:right w:val="single" w:sz="4" w:space="0" w:color="auto"/>
            </w:tcBorders>
            <w:vAlign w:val="center"/>
            <w:hideMark/>
          </w:tcPr>
          <w:p w14:paraId="1FF4524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20</w:t>
            </w:r>
          </w:p>
        </w:tc>
        <w:tc>
          <w:tcPr>
            <w:tcW w:w="955" w:type="dxa"/>
            <w:tcBorders>
              <w:top w:val="single" w:sz="4" w:space="0" w:color="auto"/>
              <w:left w:val="single" w:sz="4" w:space="0" w:color="auto"/>
              <w:bottom w:val="single" w:sz="4" w:space="0" w:color="auto"/>
              <w:right w:val="single" w:sz="4" w:space="0" w:color="auto"/>
            </w:tcBorders>
            <w:vAlign w:val="center"/>
            <w:hideMark/>
          </w:tcPr>
          <w:p w14:paraId="7B04FE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240</w:t>
            </w:r>
          </w:p>
        </w:tc>
      </w:tr>
      <w:tr w:rsidR="00FB6F3A" w:rsidRPr="00FB6F3A" w14:paraId="43FD55D3"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5B9DC01"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639CB75"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3F3114"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5D4AA37B"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36E900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HRNP</w:t>
            </w:r>
          </w:p>
        </w:tc>
        <w:tc>
          <w:tcPr>
            <w:tcW w:w="732" w:type="dxa"/>
            <w:tcBorders>
              <w:top w:val="single" w:sz="4" w:space="0" w:color="auto"/>
              <w:left w:val="single" w:sz="4" w:space="0" w:color="auto"/>
              <w:bottom w:val="single" w:sz="4" w:space="0" w:color="auto"/>
              <w:right w:val="single" w:sz="4" w:space="0" w:color="auto"/>
            </w:tcBorders>
            <w:vAlign w:val="center"/>
            <w:hideMark/>
          </w:tcPr>
          <w:p w14:paraId="13976CE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3399B0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7E278D08"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8D26A46"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43EB79"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7AD7E50"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5D3988E"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190631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7B364B9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6CFE98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12</w:t>
            </w:r>
          </w:p>
        </w:tc>
      </w:tr>
      <w:tr w:rsidR="00FB6F3A" w:rsidRPr="00FB6F3A" w14:paraId="35F42872"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E5A721A"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7ED83592"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78C11FB"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39AB268"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40BB330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HRCO</w:t>
            </w:r>
          </w:p>
        </w:tc>
        <w:tc>
          <w:tcPr>
            <w:tcW w:w="732" w:type="dxa"/>
            <w:tcBorders>
              <w:top w:val="single" w:sz="4" w:space="0" w:color="auto"/>
              <w:left w:val="single" w:sz="4" w:space="0" w:color="auto"/>
              <w:bottom w:val="single" w:sz="4" w:space="0" w:color="auto"/>
              <w:right w:val="single" w:sz="4" w:space="0" w:color="auto"/>
            </w:tcBorders>
            <w:vAlign w:val="center"/>
            <w:hideMark/>
          </w:tcPr>
          <w:p w14:paraId="68A12E9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0A8546A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369F123A"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72C06498"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9E00A7C"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2FF2D36"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2763541"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BE5C0C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HRIV</w:t>
            </w:r>
          </w:p>
        </w:tc>
        <w:tc>
          <w:tcPr>
            <w:tcW w:w="732" w:type="dxa"/>
            <w:tcBorders>
              <w:top w:val="single" w:sz="4" w:space="0" w:color="auto"/>
              <w:left w:val="single" w:sz="4" w:space="0" w:color="auto"/>
              <w:bottom w:val="single" w:sz="4" w:space="0" w:color="auto"/>
              <w:right w:val="single" w:sz="4" w:space="0" w:color="auto"/>
            </w:tcBorders>
            <w:vAlign w:val="center"/>
            <w:hideMark/>
          </w:tcPr>
          <w:p w14:paraId="18216BA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52CE6C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r w:rsidR="00FB6F3A" w:rsidRPr="00FB6F3A" w14:paraId="12F8D4C0"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F8B070D"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39A383D"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E6C770B" w14:textId="77777777" w:rsidR="00FB6F3A" w:rsidRPr="00FB6F3A" w:rsidRDefault="00FB6F3A" w:rsidP="00FB6F3A">
            <w:pPr>
              <w:rPr>
                <w:rFonts w:ascii="Arial" w:eastAsia="Arial Unicode MS" w:hAnsi="Arial" w:cs="Arial"/>
                <w:b/>
                <w:bCs/>
                <w:color w:val="000000" w:themeColor="text1"/>
                <w:kern w:val="3"/>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21FB6A4" w14:textId="77777777" w:rsidR="00FB6F3A" w:rsidRPr="00FB6F3A" w:rsidRDefault="00FB6F3A" w:rsidP="00FB6F3A">
            <w:pPr>
              <w:rPr>
                <w:rFonts w:ascii="Arial" w:eastAsia="Arial Unicode MS" w:hAnsi="Arial" w:cs="Arial"/>
                <w:bCs/>
                <w:color w:val="000000" w:themeColor="text1"/>
                <w:kern w:val="3"/>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5AE7CA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HRTB</w:t>
            </w:r>
          </w:p>
        </w:tc>
        <w:tc>
          <w:tcPr>
            <w:tcW w:w="732" w:type="dxa"/>
            <w:tcBorders>
              <w:top w:val="single" w:sz="4" w:space="0" w:color="auto"/>
              <w:left w:val="single" w:sz="4" w:space="0" w:color="auto"/>
              <w:bottom w:val="single" w:sz="4" w:space="0" w:color="auto"/>
              <w:right w:val="single" w:sz="4" w:space="0" w:color="auto"/>
            </w:tcBorders>
            <w:vAlign w:val="center"/>
            <w:hideMark/>
          </w:tcPr>
          <w:p w14:paraId="71F1130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4873866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60</w:t>
            </w:r>
          </w:p>
        </w:tc>
      </w:tr>
    </w:tbl>
    <w:p w14:paraId="6F06725C"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Cetozonazol</w:t>
      </w:r>
      <w:proofErr w:type="spellEnd"/>
      <w:r w:rsidRPr="00FB6F3A">
        <w:rPr>
          <w:rFonts w:ascii="Arial" w:hAnsi="Arial" w:cs="Arial"/>
          <w:b/>
          <w:bCs/>
          <w:sz w:val="22"/>
          <w:szCs w:val="22"/>
        </w:rPr>
        <w:t xml:space="preserve">: </w:t>
      </w:r>
      <w:r w:rsidRPr="00FB6F3A">
        <w:rPr>
          <w:rFonts w:ascii="Arial" w:hAnsi="Arial" w:cs="Arial"/>
          <w:sz w:val="22"/>
          <w:szCs w:val="22"/>
        </w:rPr>
        <w:t xml:space="preserve">é indicado para o tratamento de certas infecções graves na pele causadas por fungos (especificamente, micose do couro cabeludo, candidíase </w:t>
      </w:r>
      <w:proofErr w:type="spellStart"/>
      <w:r w:rsidRPr="00FB6F3A">
        <w:rPr>
          <w:rFonts w:ascii="Arial" w:hAnsi="Arial" w:cs="Arial"/>
          <w:sz w:val="22"/>
          <w:szCs w:val="22"/>
        </w:rPr>
        <w:t>mucocutânea</w:t>
      </w:r>
      <w:proofErr w:type="spellEnd"/>
      <w:r w:rsidRPr="00FB6F3A">
        <w:rPr>
          <w:rFonts w:ascii="Arial" w:hAnsi="Arial" w:cs="Arial"/>
          <w:sz w:val="22"/>
          <w:szCs w:val="22"/>
        </w:rPr>
        <w:t xml:space="preserve"> crônica, </w:t>
      </w:r>
      <w:proofErr w:type="spellStart"/>
      <w:r w:rsidRPr="00FB6F3A">
        <w:rPr>
          <w:rFonts w:ascii="Arial" w:hAnsi="Arial" w:cs="Arial"/>
          <w:sz w:val="22"/>
          <w:szCs w:val="22"/>
        </w:rPr>
        <w:t>foliculite</w:t>
      </w:r>
      <w:proofErr w:type="spellEnd"/>
      <w:r w:rsidRPr="00FB6F3A">
        <w:rPr>
          <w:rFonts w:ascii="Arial" w:hAnsi="Arial" w:cs="Arial"/>
          <w:sz w:val="22"/>
          <w:szCs w:val="22"/>
        </w:rPr>
        <w:t xml:space="preserve"> por </w:t>
      </w:r>
      <w:proofErr w:type="spellStart"/>
      <w:r w:rsidRPr="00FB6F3A">
        <w:rPr>
          <w:rFonts w:ascii="Arial" w:hAnsi="Arial" w:cs="Arial"/>
          <w:sz w:val="22"/>
          <w:szCs w:val="22"/>
        </w:rPr>
        <w:t>Malassezia</w:t>
      </w:r>
      <w:proofErr w:type="spellEnd"/>
      <w:r w:rsidRPr="00FB6F3A">
        <w:rPr>
          <w:rFonts w:ascii="Arial" w:hAnsi="Arial" w:cs="Arial"/>
          <w:sz w:val="22"/>
          <w:szCs w:val="22"/>
        </w:rPr>
        <w:t>), quando outros tratamentos não forem tolerados ou eficazes.</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78690D5E"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55E1E7E"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02</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6C4B757"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3BA703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426F4E70"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320E678"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603663E1"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21A2AA3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2617E13F" w14:textId="77777777" w:rsidTr="00FB6F3A">
        <w:trPr>
          <w:cantSplit/>
          <w:trHeight w:hRule="exact" w:val="45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132C5FB"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43E231AF"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6501-325</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5798D80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271103</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1DA422AB" w14:textId="77777777" w:rsidR="00FB6F3A" w:rsidRPr="00FB6F3A" w:rsidRDefault="00FB6F3A" w:rsidP="00FB6F3A">
            <w:pPr>
              <w:pStyle w:val="Default"/>
              <w:jc w:val="center"/>
              <w:rPr>
                <w:sz w:val="20"/>
                <w:szCs w:val="22"/>
              </w:rPr>
            </w:pPr>
            <w:r w:rsidRPr="00FB6F3A">
              <w:rPr>
                <w:sz w:val="20"/>
                <w:szCs w:val="22"/>
              </w:rPr>
              <w:t xml:space="preserve">Cetoconazol, 20 mg/g (2%), Xampu, Frasco, 100 ml, VIA DE ADMINISTRAÇÃO: Tópica, UNID. DE MEDIDA: Unitário </w:t>
            </w:r>
          </w:p>
          <w:p w14:paraId="3CD2AE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97756F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 xml:space="preserve">CPPI </w:t>
            </w:r>
          </w:p>
        </w:tc>
        <w:tc>
          <w:tcPr>
            <w:tcW w:w="732" w:type="dxa"/>
            <w:tcBorders>
              <w:top w:val="single" w:sz="4" w:space="0" w:color="auto"/>
              <w:left w:val="single" w:sz="4" w:space="0" w:color="auto"/>
              <w:bottom w:val="single" w:sz="4" w:space="0" w:color="auto"/>
              <w:right w:val="single" w:sz="4" w:space="0" w:color="auto"/>
            </w:tcBorders>
            <w:vAlign w:val="center"/>
            <w:hideMark/>
          </w:tcPr>
          <w:p w14:paraId="724FF1E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30</w:t>
            </w:r>
          </w:p>
        </w:tc>
        <w:tc>
          <w:tcPr>
            <w:tcW w:w="955" w:type="dxa"/>
            <w:tcBorders>
              <w:top w:val="single" w:sz="4" w:space="0" w:color="auto"/>
              <w:left w:val="single" w:sz="4" w:space="0" w:color="auto"/>
              <w:bottom w:val="single" w:sz="4" w:space="0" w:color="auto"/>
              <w:right w:val="single" w:sz="4" w:space="0" w:color="auto"/>
            </w:tcBorders>
            <w:vAlign w:val="center"/>
            <w:hideMark/>
          </w:tcPr>
          <w:p w14:paraId="000049B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360</w:t>
            </w:r>
          </w:p>
        </w:tc>
      </w:tr>
      <w:tr w:rsidR="00FB6F3A" w:rsidRPr="00FB6F3A" w14:paraId="5E5DF1E7"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7D28EE7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651959D"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2E5730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577B19A7"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893FF6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50B9BCD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008DE3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06</w:t>
            </w:r>
          </w:p>
        </w:tc>
      </w:tr>
      <w:tr w:rsidR="00FB6F3A" w:rsidRPr="00FB6F3A" w14:paraId="0E13EAEF"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5516188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BB84178"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76B4828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600E232"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AF2479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6BB16B3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106BAE8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3D0DCC97" w14:textId="77777777" w:rsidTr="00FB6F3A">
        <w:trPr>
          <w:cantSplit/>
          <w:trHeight w:hRule="exact" w:val="45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D287D8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564B8C8"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4117321"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C7A5B62"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D10806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HCAB</w:t>
            </w:r>
          </w:p>
        </w:tc>
        <w:tc>
          <w:tcPr>
            <w:tcW w:w="732" w:type="dxa"/>
            <w:tcBorders>
              <w:top w:val="single" w:sz="4" w:space="0" w:color="auto"/>
              <w:left w:val="single" w:sz="4" w:space="0" w:color="auto"/>
              <w:bottom w:val="single" w:sz="4" w:space="0" w:color="auto"/>
              <w:right w:val="single" w:sz="4" w:space="0" w:color="auto"/>
            </w:tcBorders>
            <w:vAlign w:val="center"/>
            <w:hideMark/>
          </w:tcPr>
          <w:p w14:paraId="2D1A423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02</w:t>
            </w:r>
          </w:p>
        </w:tc>
        <w:tc>
          <w:tcPr>
            <w:tcW w:w="955" w:type="dxa"/>
            <w:tcBorders>
              <w:top w:val="single" w:sz="4" w:space="0" w:color="auto"/>
              <w:left w:val="single" w:sz="4" w:space="0" w:color="auto"/>
              <w:bottom w:val="single" w:sz="4" w:space="0" w:color="auto"/>
              <w:right w:val="single" w:sz="4" w:space="0" w:color="auto"/>
            </w:tcBorders>
            <w:vAlign w:val="center"/>
            <w:hideMark/>
          </w:tcPr>
          <w:p w14:paraId="636BE3C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24</w:t>
            </w:r>
          </w:p>
        </w:tc>
      </w:tr>
    </w:tbl>
    <w:p w14:paraId="556E9665"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r w:rsidRPr="00FB6F3A">
        <w:rPr>
          <w:rFonts w:ascii="Arial" w:hAnsi="Arial" w:cs="Arial"/>
          <w:b/>
          <w:bCs/>
          <w:sz w:val="22"/>
          <w:szCs w:val="22"/>
        </w:rPr>
        <w:t xml:space="preserve">Cloridrato de </w:t>
      </w:r>
      <w:proofErr w:type="spellStart"/>
      <w:r w:rsidRPr="00FB6F3A">
        <w:rPr>
          <w:rFonts w:ascii="Arial" w:hAnsi="Arial" w:cs="Arial"/>
          <w:b/>
          <w:bCs/>
          <w:sz w:val="22"/>
          <w:szCs w:val="22"/>
        </w:rPr>
        <w:t>Ciprofloxacino</w:t>
      </w:r>
      <w:proofErr w:type="spellEnd"/>
      <w:r w:rsidRPr="00FB6F3A">
        <w:rPr>
          <w:rFonts w:ascii="Arial" w:hAnsi="Arial" w:cs="Arial"/>
          <w:b/>
          <w:bCs/>
          <w:sz w:val="22"/>
          <w:szCs w:val="22"/>
        </w:rPr>
        <w:t xml:space="preserve">: </w:t>
      </w:r>
      <w:r w:rsidRPr="00FB6F3A">
        <w:rPr>
          <w:rFonts w:ascii="Arial" w:hAnsi="Arial" w:cs="Arial"/>
          <w:sz w:val="22"/>
          <w:szCs w:val="22"/>
        </w:rPr>
        <w:t xml:space="preserve">está indicado no tratamento de infecções complicadas e não-complicadas causadas por </w:t>
      </w:r>
      <w:proofErr w:type="spellStart"/>
      <w:r w:rsidRPr="00FB6F3A">
        <w:rPr>
          <w:rFonts w:ascii="Arial" w:hAnsi="Arial" w:cs="Arial"/>
          <w:sz w:val="22"/>
          <w:szCs w:val="22"/>
        </w:rPr>
        <w:t>microorganismos</w:t>
      </w:r>
      <w:proofErr w:type="spellEnd"/>
      <w:r w:rsidRPr="00FB6F3A">
        <w:rPr>
          <w:rFonts w:ascii="Arial" w:hAnsi="Arial" w:cs="Arial"/>
          <w:sz w:val="22"/>
          <w:szCs w:val="22"/>
        </w:rPr>
        <w:t xml:space="preserve"> sensíveis ao </w:t>
      </w:r>
      <w:proofErr w:type="spellStart"/>
      <w:r w:rsidRPr="00FB6F3A">
        <w:rPr>
          <w:rFonts w:ascii="Arial" w:hAnsi="Arial" w:cs="Arial"/>
          <w:sz w:val="22"/>
          <w:szCs w:val="22"/>
        </w:rPr>
        <w:t>ciprofloxacino</w:t>
      </w:r>
      <w:proofErr w:type="spellEnd"/>
      <w:r w:rsidRPr="00FB6F3A">
        <w:rPr>
          <w:rFonts w:ascii="Arial" w:hAnsi="Arial" w:cs="Arial"/>
          <w:sz w:val="22"/>
          <w:szCs w:val="22"/>
        </w:rPr>
        <w:t xml:space="preserve">, no trato respiratório, Ouvido médio (otite média) e seios paranasais (sinusite), olhos, rins e/ou trato urinário eferente, </w:t>
      </w:r>
      <w:proofErr w:type="spellStart"/>
      <w:r w:rsidRPr="00FB6F3A">
        <w:rPr>
          <w:rFonts w:ascii="Arial" w:hAnsi="Arial" w:cs="Arial"/>
          <w:sz w:val="22"/>
          <w:szCs w:val="22"/>
        </w:rPr>
        <w:t>orgãos</w:t>
      </w:r>
      <w:proofErr w:type="spellEnd"/>
      <w:r w:rsidRPr="00FB6F3A">
        <w:rPr>
          <w:rFonts w:ascii="Arial" w:hAnsi="Arial" w:cs="Arial"/>
          <w:sz w:val="22"/>
          <w:szCs w:val="22"/>
        </w:rPr>
        <w:t xml:space="preserve"> genitais, inclusive </w:t>
      </w:r>
      <w:proofErr w:type="spellStart"/>
      <w:r w:rsidRPr="00FB6F3A">
        <w:rPr>
          <w:rFonts w:ascii="Arial" w:hAnsi="Arial" w:cs="Arial"/>
          <w:sz w:val="22"/>
          <w:szCs w:val="22"/>
        </w:rPr>
        <w:t>anexite</w:t>
      </w:r>
      <w:proofErr w:type="spellEnd"/>
      <w:r w:rsidRPr="00FB6F3A">
        <w:rPr>
          <w:rFonts w:ascii="Arial" w:hAnsi="Arial" w:cs="Arial"/>
          <w:sz w:val="22"/>
          <w:szCs w:val="22"/>
        </w:rPr>
        <w:t xml:space="preserve">, </w:t>
      </w:r>
      <w:proofErr w:type="spellStart"/>
      <w:r w:rsidRPr="00FB6F3A">
        <w:rPr>
          <w:rFonts w:ascii="Arial" w:hAnsi="Arial" w:cs="Arial"/>
          <w:sz w:val="22"/>
          <w:szCs w:val="22"/>
        </w:rPr>
        <w:t>gonorréia</w:t>
      </w:r>
      <w:proofErr w:type="spellEnd"/>
      <w:r w:rsidRPr="00FB6F3A">
        <w:rPr>
          <w:rFonts w:ascii="Arial" w:hAnsi="Arial" w:cs="Arial"/>
          <w:sz w:val="22"/>
          <w:szCs w:val="22"/>
        </w:rPr>
        <w:t xml:space="preserve">, prostatite, cavidade abdominal, pele e tecidos moles, ossos e articulações, sepse, descontaminação </w:t>
      </w:r>
      <w:r w:rsidRPr="00FB6F3A">
        <w:rPr>
          <w:rFonts w:ascii="Arial" w:hAnsi="Arial" w:cs="Arial"/>
          <w:sz w:val="22"/>
          <w:szCs w:val="22"/>
        </w:rPr>
        <w:lastRenderedPageBreak/>
        <w:t>intestinal seletiva em pacientes sob tratamento com imunossupressores, no tratamento da exacerbação pulmonar aguda de fibrose cística, associada a infecção por Pseudomonas aeruginosa.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082C232F"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0E8C7CD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03</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3E9EA112"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695FC43"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22FB968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8CB242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14375F03"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2B44C451"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53D53E11" w14:textId="77777777" w:rsidTr="00FB6F3A">
        <w:trPr>
          <w:cantSplit/>
          <w:trHeight w:val="283"/>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04E67B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AECABD1"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6501-3799</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4886BCE"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331158</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609CB9D7" w14:textId="77777777" w:rsidR="00FB6F3A" w:rsidRPr="00FB6F3A" w:rsidRDefault="00FB6F3A" w:rsidP="00FB6F3A">
            <w:pPr>
              <w:pStyle w:val="Default"/>
              <w:jc w:val="center"/>
              <w:rPr>
                <w:sz w:val="20"/>
                <w:szCs w:val="22"/>
              </w:rPr>
            </w:pPr>
            <w:proofErr w:type="spellStart"/>
            <w:r w:rsidRPr="00FB6F3A">
              <w:rPr>
                <w:sz w:val="20"/>
                <w:szCs w:val="22"/>
              </w:rPr>
              <w:t>Ciprofloxacino</w:t>
            </w:r>
            <w:proofErr w:type="spellEnd"/>
            <w:r w:rsidRPr="00FB6F3A">
              <w:rPr>
                <w:sz w:val="20"/>
                <w:szCs w:val="22"/>
              </w:rPr>
              <w:t xml:space="preserve">, </w:t>
            </w:r>
            <w:proofErr w:type="gramStart"/>
            <w:r w:rsidRPr="00FB6F3A">
              <w:rPr>
                <w:sz w:val="20"/>
                <w:szCs w:val="22"/>
              </w:rPr>
              <w:t>cloridrato ,</w:t>
            </w:r>
            <w:proofErr w:type="gramEnd"/>
            <w:r w:rsidRPr="00FB6F3A">
              <w:rPr>
                <w:sz w:val="20"/>
                <w:szCs w:val="22"/>
              </w:rPr>
              <w:t xml:space="preserve"> 3,5 mg/ml , Solução oftálmica, Frasco gotejador, 5 ml, VIA DE ADMINISTRAÇÃO: Oftálmica, UNID. DE MEDIDA: Unitário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925E8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41FAD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0F41368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273B458F"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6BB036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F7DFEC7"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FA3DDE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C84B6F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A6B151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7914EF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33584F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06</w:t>
            </w:r>
          </w:p>
        </w:tc>
      </w:tr>
      <w:tr w:rsidR="00FB6F3A" w:rsidRPr="00FB6F3A" w14:paraId="165B5049"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7E85784"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7723142"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2D85D5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181741A"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E4FC45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HRNP</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2C0E9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4639115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24</w:t>
            </w:r>
          </w:p>
        </w:tc>
      </w:tr>
      <w:tr w:rsidR="00FB6F3A" w:rsidRPr="00FB6F3A" w14:paraId="6DFF17DE"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823C8E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FDF0B3B"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ABE8A9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AD76028"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39092D6"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HRSWAP</w:t>
            </w:r>
          </w:p>
        </w:tc>
        <w:tc>
          <w:tcPr>
            <w:tcW w:w="732" w:type="dxa"/>
            <w:tcBorders>
              <w:top w:val="single" w:sz="4" w:space="0" w:color="auto"/>
              <w:left w:val="single" w:sz="4" w:space="0" w:color="auto"/>
              <w:bottom w:val="single" w:sz="4" w:space="0" w:color="auto"/>
              <w:right w:val="single" w:sz="4" w:space="0" w:color="auto"/>
            </w:tcBorders>
            <w:vAlign w:val="center"/>
            <w:hideMark/>
          </w:tcPr>
          <w:p w14:paraId="5C5DC6F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02</w:t>
            </w:r>
          </w:p>
        </w:tc>
        <w:tc>
          <w:tcPr>
            <w:tcW w:w="955" w:type="dxa"/>
            <w:tcBorders>
              <w:top w:val="single" w:sz="4" w:space="0" w:color="auto"/>
              <w:left w:val="single" w:sz="4" w:space="0" w:color="auto"/>
              <w:bottom w:val="single" w:sz="4" w:space="0" w:color="auto"/>
              <w:right w:val="single" w:sz="4" w:space="0" w:color="auto"/>
            </w:tcBorders>
            <w:vAlign w:val="center"/>
            <w:hideMark/>
          </w:tcPr>
          <w:p w14:paraId="14A7373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428EF558"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E43916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12D78FA"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886EBF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B16E76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8B731C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HZS</w:t>
            </w:r>
          </w:p>
        </w:tc>
        <w:tc>
          <w:tcPr>
            <w:tcW w:w="732" w:type="dxa"/>
            <w:tcBorders>
              <w:top w:val="single" w:sz="4" w:space="0" w:color="auto"/>
              <w:left w:val="single" w:sz="4" w:space="0" w:color="auto"/>
              <w:bottom w:val="single" w:sz="4" w:space="0" w:color="auto"/>
              <w:right w:val="single" w:sz="4" w:space="0" w:color="auto"/>
            </w:tcBorders>
            <w:vAlign w:val="center"/>
            <w:hideMark/>
          </w:tcPr>
          <w:p w14:paraId="16FC97D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735943E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4424865B"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16717B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04E2A0"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5770199"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1851822"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9FBAA1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HRCO</w:t>
            </w:r>
          </w:p>
        </w:tc>
        <w:tc>
          <w:tcPr>
            <w:tcW w:w="732" w:type="dxa"/>
            <w:tcBorders>
              <w:top w:val="single" w:sz="4" w:space="0" w:color="auto"/>
              <w:left w:val="single" w:sz="4" w:space="0" w:color="auto"/>
              <w:bottom w:val="single" w:sz="4" w:space="0" w:color="auto"/>
              <w:right w:val="single" w:sz="4" w:space="0" w:color="auto"/>
            </w:tcBorders>
            <w:vAlign w:val="center"/>
            <w:hideMark/>
          </w:tcPr>
          <w:p w14:paraId="26BA0B9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4A5BF07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7659BE51"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843205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23C3D7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C0EB6E0"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B8A9581"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E963F8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HRI</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0F99F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0293ACD3"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18A18A2A"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BE714F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B1B91DC"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BB767D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6173817"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3CF787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HRTB</w:t>
            </w:r>
          </w:p>
        </w:tc>
        <w:tc>
          <w:tcPr>
            <w:tcW w:w="732" w:type="dxa"/>
            <w:tcBorders>
              <w:top w:val="single" w:sz="4" w:space="0" w:color="auto"/>
              <w:left w:val="single" w:sz="4" w:space="0" w:color="auto"/>
              <w:bottom w:val="single" w:sz="4" w:space="0" w:color="auto"/>
              <w:right w:val="single" w:sz="4" w:space="0" w:color="auto"/>
            </w:tcBorders>
            <w:vAlign w:val="center"/>
            <w:hideMark/>
          </w:tcPr>
          <w:p w14:paraId="194C2F5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1AC1D1FD"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r w:rsidR="00FB6F3A" w:rsidRPr="00FB6F3A" w14:paraId="77010D2E" w14:textId="77777777" w:rsidTr="00FB6F3A">
        <w:trPr>
          <w:cantSplit/>
          <w:trHeight w:val="28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83E2A07"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53DF0DEE"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F2656ED"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CE1986A"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25A0FDF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HCAB</w:t>
            </w:r>
          </w:p>
        </w:tc>
        <w:tc>
          <w:tcPr>
            <w:tcW w:w="732" w:type="dxa"/>
            <w:tcBorders>
              <w:top w:val="single" w:sz="4" w:space="0" w:color="auto"/>
              <w:left w:val="single" w:sz="4" w:space="0" w:color="auto"/>
              <w:bottom w:val="single" w:sz="4" w:space="0" w:color="auto"/>
              <w:right w:val="single" w:sz="4" w:space="0" w:color="auto"/>
            </w:tcBorders>
            <w:vAlign w:val="center"/>
            <w:hideMark/>
          </w:tcPr>
          <w:p w14:paraId="2C3ABB87"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01</w:t>
            </w:r>
          </w:p>
        </w:tc>
        <w:tc>
          <w:tcPr>
            <w:tcW w:w="955" w:type="dxa"/>
            <w:tcBorders>
              <w:top w:val="single" w:sz="4" w:space="0" w:color="auto"/>
              <w:left w:val="single" w:sz="4" w:space="0" w:color="auto"/>
              <w:bottom w:val="single" w:sz="4" w:space="0" w:color="auto"/>
              <w:right w:val="single" w:sz="4" w:space="0" w:color="auto"/>
            </w:tcBorders>
            <w:vAlign w:val="center"/>
            <w:hideMark/>
          </w:tcPr>
          <w:p w14:paraId="6438EDA0"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w:t>
            </w:r>
          </w:p>
        </w:tc>
      </w:tr>
    </w:tbl>
    <w:p w14:paraId="7E6399CA"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proofErr w:type="spellStart"/>
      <w:r w:rsidRPr="00FB6F3A">
        <w:rPr>
          <w:rFonts w:ascii="Arial" w:hAnsi="Arial" w:cs="Arial"/>
          <w:b/>
          <w:bCs/>
          <w:sz w:val="22"/>
          <w:szCs w:val="22"/>
        </w:rPr>
        <w:t>Claritromicina</w:t>
      </w:r>
      <w:proofErr w:type="spellEnd"/>
      <w:r w:rsidRPr="00FB6F3A">
        <w:rPr>
          <w:rFonts w:ascii="Arial" w:hAnsi="Arial" w:cs="Arial"/>
          <w:b/>
          <w:bCs/>
          <w:sz w:val="22"/>
          <w:szCs w:val="22"/>
        </w:rPr>
        <w:t xml:space="preserve">: </w:t>
      </w:r>
      <w:r w:rsidRPr="00FB6F3A">
        <w:rPr>
          <w:rFonts w:ascii="Arial" w:hAnsi="Arial" w:cs="Arial"/>
          <w:sz w:val="22"/>
          <w:szCs w:val="22"/>
        </w:rPr>
        <w:t xml:space="preserve">está indicada para o tratamento de infecções de vias </w:t>
      </w:r>
      <w:proofErr w:type="spellStart"/>
      <w:r w:rsidRPr="00FB6F3A">
        <w:rPr>
          <w:rFonts w:ascii="Arial" w:hAnsi="Arial" w:cs="Arial"/>
          <w:sz w:val="22"/>
          <w:szCs w:val="22"/>
        </w:rPr>
        <w:t>áereas</w:t>
      </w:r>
      <w:proofErr w:type="spellEnd"/>
      <w:r w:rsidRPr="00FB6F3A">
        <w:rPr>
          <w:rFonts w:ascii="Arial" w:hAnsi="Arial" w:cs="Arial"/>
          <w:sz w:val="22"/>
          <w:szCs w:val="22"/>
        </w:rPr>
        <w:t xml:space="preserve"> superiores e inferiores, e de infecções da pele e tecidos moles, por todos os microrganismos sensíveis a </w:t>
      </w:r>
      <w:proofErr w:type="spellStart"/>
      <w:r w:rsidRPr="00FB6F3A">
        <w:rPr>
          <w:rFonts w:ascii="Arial" w:hAnsi="Arial" w:cs="Arial"/>
          <w:sz w:val="22"/>
          <w:szCs w:val="22"/>
        </w:rPr>
        <w:t>claritromicina</w:t>
      </w:r>
      <w:proofErr w:type="spellEnd"/>
      <w:r w:rsidRPr="00FB6F3A">
        <w:rPr>
          <w:rFonts w:ascii="Arial" w:hAnsi="Arial" w:cs="Arial"/>
          <w:sz w:val="22"/>
          <w:szCs w:val="22"/>
        </w:rPr>
        <w:t>.</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7367E5DC"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4E0FD2CB"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01</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50168BB0"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0BF9C5E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08298556"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BECEEFD"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0B9922F9"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0CDF73B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1F9E5703" w14:textId="77777777" w:rsidTr="00FB6F3A">
        <w:trPr>
          <w:cantSplit/>
          <w:trHeight w:hRule="exact" w:val="79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3EA1EB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04</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7A8F445"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6501-508</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27AFF846"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268439</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14:paraId="24D45CFD" w14:textId="77777777" w:rsidR="00FB6F3A" w:rsidRPr="00FB6F3A" w:rsidRDefault="00FB6F3A" w:rsidP="00FB6F3A">
            <w:pPr>
              <w:pStyle w:val="Default"/>
              <w:jc w:val="center"/>
              <w:rPr>
                <w:sz w:val="20"/>
                <w:szCs w:val="22"/>
              </w:rPr>
            </w:pPr>
            <w:proofErr w:type="spellStart"/>
            <w:r w:rsidRPr="00FB6F3A">
              <w:rPr>
                <w:sz w:val="20"/>
                <w:szCs w:val="22"/>
              </w:rPr>
              <w:t>Claritromicina</w:t>
            </w:r>
            <w:proofErr w:type="spellEnd"/>
            <w:r w:rsidRPr="00FB6F3A">
              <w:rPr>
                <w:sz w:val="20"/>
                <w:szCs w:val="22"/>
              </w:rPr>
              <w:t xml:space="preserve">, 500 mg, Comprimido revestido, Blister, VIA DE ADMINISTRAÇÃO: Oral, UNID. DE MEDIDA: Unitário </w:t>
            </w:r>
          </w:p>
          <w:p w14:paraId="02001B4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923EDB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5263DE79"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C5AB9F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60</w:t>
            </w:r>
          </w:p>
        </w:tc>
      </w:tr>
      <w:tr w:rsidR="00FB6F3A" w:rsidRPr="00FB6F3A" w14:paraId="0D8772D9" w14:textId="77777777" w:rsidTr="00FB6F3A">
        <w:trPr>
          <w:cantSplit/>
          <w:trHeight w:hRule="exact" w:val="79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187CCCBC"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06C6F61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19DB366F"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09C3F9A6" w14:textId="77777777" w:rsidR="00FB6F3A" w:rsidRPr="00FB6F3A" w:rsidRDefault="00FB6F3A" w:rsidP="00FB6F3A">
            <w:pPr>
              <w:rPr>
                <w:rFonts w:ascii="Arial" w:eastAsia="Arial Unicode MS" w:hAnsi="Arial" w:cs="Arial"/>
                <w:bCs/>
                <w:color w:val="000000" w:themeColor="text1"/>
                <w:kern w:val="3"/>
                <w:szCs w:val="22"/>
                <w:lang w:eastAsia="zh-CN" w:bidi="hi-IN"/>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3E4D070F"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2C14954E"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10</w:t>
            </w:r>
          </w:p>
        </w:tc>
        <w:tc>
          <w:tcPr>
            <w:tcW w:w="955" w:type="dxa"/>
            <w:tcBorders>
              <w:top w:val="single" w:sz="4" w:space="0" w:color="auto"/>
              <w:left w:val="single" w:sz="4" w:space="0" w:color="auto"/>
              <w:bottom w:val="single" w:sz="4" w:space="0" w:color="auto"/>
              <w:right w:val="single" w:sz="4" w:space="0" w:color="auto"/>
            </w:tcBorders>
            <w:vAlign w:val="center"/>
            <w:hideMark/>
          </w:tcPr>
          <w:p w14:paraId="2CB0966C"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120</w:t>
            </w:r>
          </w:p>
        </w:tc>
      </w:tr>
    </w:tbl>
    <w:p w14:paraId="204D987F"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46BDE898"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5BDFF350"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Lote 05</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3986203A"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698F1494"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311564DB"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CAFF66"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32B4BDBA"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5ADF61F5"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2"/>
              </w:rPr>
            </w:pPr>
            <w:r w:rsidRPr="00FB6F3A">
              <w:rPr>
                <w:rFonts w:ascii="Arial" w:eastAsia="Times New Roman" w:hAnsi="Arial" w:cs="Arial"/>
                <w:b/>
                <w:bCs/>
                <w:color w:val="000000"/>
                <w:sz w:val="20"/>
                <w:szCs w:val="22"/>
                <w:lang w:eastAsia="pt-BR"/>
              </w:rPr>
              <w:t>Previsão de aquisição para 12 (doze) meses</w:t>
            </w:r>
          </w:p>
        </w:tc>
      </w:tr>
      <w:tr w:rsidR="00FB6F3A" w:rsidRPr="00FB6F3A" w14:paraId="538874E8" w14:textId="77777777" w:rsidTr="00FB6F3A">
        <w:trPr>
          <w:cantSplit/>
          <w:trHeight w:val="794"/>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7E90DAF8"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ITEM 01</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162D4E7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6501-509</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6326D95B"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2"/>
              </w:rPr>
            </w:pPr>
            <w:r w:rsidRPr="00FB6F3A">
              <w:rPr>
                <w:rFonts w:ascii="Arial" w:hAnsi="Arial" w:cs="Arial"/>
                <w:b/>
                <w:bCs/>
                <w:color w:val="000000" w:themeColor="text1"/>
                <w:sz w:val="20"/>
                <w:szCs w:val="22"/>
              </w:rPr>
              <w:t>268440</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646D5A83" w14:textId="77777777" w:rsidR="00FB6F3A" w:rsidRPr="00FB6F3A" w:rsidRDefault="00FB6F3A" w:rsidP="00FB6F3A">
            <w:pPr>
              <w:pStyle w:val="Default"/>
              <w:jc w:val="center"/>
              <w:rPr>
                <w:sz w:val="20"/>
                <w:szCs w:val="22"/>
              </w:rPr>
            </w:pPr>
            <w:proofErr w:type="spellStart"/>
            <w:r w:rsidRPr="00FB6F3A">
              <w:rPr>
                <w:sz w:val="20"/>
                <w:szCs w:val="22"/>
              </w:rPr>
              <w:t>Claritromicina</w:t>
            </w:r>
            <w:proofErr w:type="spellEnd"/>
            <w:r w:rsidRPr="00FB6F3A">
              <w:rPr>
                <w:sz w:val="20"/>
                <w:szCs w:val="22"/>
              </w:rPr>
              <w:t xml:space="preserve">, 500 mg (Injetável), Pó para solução injetável, Frasco- ampola, VIA DE ADMINISTRAÇÃO: Intravenosa, UNID. DE MEDIDA: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36475A"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075C39E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78258C68"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60</w:t>
            </w:r>
          </w:p>
        </w:tc>
      </w:tr>
      <w:tr w:rsidR="00FB6F3A" w:rsidRPr="00FB6F3A" w14:paraId="0E8D2730" w14:textId="77777777" w:rsidTr="00FB6F3A">
        <w:trPr>
          <w:cantSplit/>
          <w:trHeight w:val="79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4F9BD53"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6BE0F935"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30C56136" w14:textId="77777777" w:rsidR="00FB6F3A" w:rsidRPr="00FB6F3A" w:rsidRDefault="00FB6F3A" w:rsidP="00FB6F3A">
            <w:pPr>
              <w:rPr>
                <w:rFonts w:ascii="Arial" w:eastAsia="Arial Unicode MS" w:hAnsi="Arial" w:cs="Arial"/>
                <w:b/>
                <w:bCs/>
                <w:color w:val="000000" w:themeColor="text1"/>
                <w:kern w:val="3"/>
                <w:szCs w:val="22"/>
                <w:lang w:eastAsia="zh-CN" w:bidi="hi-IN"/>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F2F314E" w14:textId="77777777" w:rsidR="00FB6F3A" w:rsidRPr="00FB6F3A" w:rsidRDefault="00FB6F3A" w:rsidP="00FB6F3A">
            <w:pPr>
              <w:rPr>
                <w:rFonts w:ascii="Arial" w:eastAsia="Calibri" w:hAnsi="Arial" w:cs="Arial"/>
                <w:color w:val="000000"/>
                <w:kern w:val="2"/>
                <w:szCs w:val="22"/>
                <w:lang w:eastAsia="ar-S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0834B42"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HRL</w:t>
            </w:r>
          </w:p>
        </w:tc>
        <w:tc>
          <w:tcPr>
            <w:tcW w:w="732" w:type="dxa"/>
            <w:tcBorders>
              <w:top w:val="single" w:sz="4" w:space="0" w:color="auto"/>
              <w:left w:val="single" w:sz="4" w:space="0" w:color="auto"/>
              <w:bottom w:val="single" w:sz="4" w:space="0" w:color="auto"/>
              <w:right w:val="single" w:sz="4" w:space="0" w:color="auto"/>
            </w:tcBorders>
            <w:vAlign w:val="center"/>
            <w:hideMark/>
          </w:tcPr>
          <w:p w14:paraId="77EB1F94"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10</w:t>
            </w:r>
          </w:p>
        </w:tc>
        <w:tc>
          <w:tcPr>
            <w:tcW w:w="955" w:type="dxa"/>
            <w:tcBorders>
              <w:top w:val="single" w:sz="4" w:space="0" w:color="auto"/>
              <w:left w:val="single" w:sz="4" w:space="0" w:color="auto"/>
              <w:bottom w:val="single" w:sz="4" w:space="0" w:color="auto"/>
              <w:right w:val="single" w:sz="4" w:space="0" w:color="auto"/>
            </w:tcBorders>
            <w:vAlign w:val="center"/>
            <w:hideMark/>
          </w:tcPr>
          <w:p w14:paraId="122773A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2"/>
              </w:rPr>
            </w:pPr>
            <w:r w:rsidRPr="00FB6F3A">
              <w:rPr>
                <w:rFonts w:ascii="Arial" w:hAnsi="Arial" w:cs="Arial"/>
                <w:bCs/>
                <w:color w:val="000000" w:themeColor="text1"/>
                <w:sz w:val="20"/>
                <w:szCs w:val="22"/>
              </w:rPr>
              <w:t>120</w:t>
            </w:r>
          </w:p>
        </w:tc>
      </w:tr>
    </w:tbl>
    <w:p w14:paraId="58251B87" w14:textId="77777777" w:rsidR="00FB6F3A" w:rsidRPr="00FB6F3A" w:rsidRDefault="00FB6F3A" w:rsidP="00FB6F3A">
      <w:pPr>
        <w:pStyle w:val="PargrafodaLista"/>
        <w:numPr>
          <w:ilvl w:val="0"/>
          <w:numId w:val="28"/>
        </w:numPr>
        <w:suppressAutoHyphens w:val="0"/>
        <w:autoSpaceDE w:val="0"/>
        <w:autoSpaceDN w:val="0"/>
        <w:adjustRightInd w:val="0"/>
        <w:spacing w:line="360" w:lineRule="auto"/>
        <w:jc w:val="both"/>
        <w:rPr>
          <w:rFonts w:ascii="Arial" w:hAnsi="Arial" w:cs="Arial"/>
          <w:b/>
          <w:bCs/>
          <w:sz w:val="22"/>
          <w:szCs w:val="22"/>
        </w:rPr>
      </w:pPr>
      <w:r w:rsidRPr="00FB6F3A">
        <w:rPr>
          <w:rFonts w:ascii="Arial" w:hAnsi="Arial" w:cs="Arial"/>
          <w:b/>
          <w:bCs/>
          <w:sz w:val="22"/>
          <w:szCs w:val="22"/>
        </w:rPr>
        <w:t xml:space="preserve">Complexo B: </w:t>
      </w:r>
      <w:r w:rsidRPr="00FB6F3A">
        <w:rPr>
          <w:rFonts w:ascii="Arial" w:hAnsi="Arial" w:cs="Arial"/>
          <w:sz w:val="22"/>
          <w:szCs w:val="22"/>
        </w:rPr>
        <w:t>é indicado para o tratamento de carência múltipla de vitaminas do complexo B e suas manifestações. Tem ação reguladora das carências quando já existem manifestações clínicas causadas pela deficiência vitamínica.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FB6F3A" w:rsidRPr="00FB6F3A" w14:paraId="41605941" w14:textId="77777777" w:rsidTr="00FB6F3A">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229DE1A3"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lastRenderedPageBreak/>
              <w:t>Lote 06</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DE5EAA8"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GMS</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1867EA9A" w14:textId="77777777" w:rsidR="00FB6F3A" w:rsidRPr="00FB6F3A" w:rsidRDefault="00FB6F3A" w:rsidP="00FB6F3A">
            <w:pPr>
              <w:pStyle w:val="Standard"/>
              <w:widowControl/>
              <w:tabs>
                <w:tab w:val="left" w:pos="-3186"/>
              </w:tabs>
              <w:spacing w:line="360" w:lineRule="auto"/>
              <w:ind w:left="113" w:right="113"/>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Código BR</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59FD8E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Descrição do medicamento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0520B23"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Unidade Hospitalar</w:t>
            </w:r>
          </w:p>
        </w:tc>
        <w:tc>
          <w:tcPr>
            <w:tcW w:w="732" w:type="dxa"/>
            <w:tcBorders>
              <w:top w:val="single" w:sz="4" w:space="0" w:color="auto"/>
              <w:left w:val="single" w:sz="4" w:space="0" w:color="auto"/>
              <w:bottom w:val="single" w:sz="4" w:space="0" w:color="auto"/>
              <w:right w:val="single" w:sz="4" w:space="0" w:color="auto"/>
            </w:tcBorders>
            <w:vAlign w:val="center"/>
            <w:hideMark/>
          </w:tcPr>
          <w:p w14:paraId="26820E0A"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C.M.M.</w:t>
            </w:r>
          </w:p>
        </w:tc>
        <w:tc>
          <w:tcPr>
            <w:tcW w:w="955" w:type="dxa"/>
            <w:tcBorders>
              <w:top w:val="single" w:sz="4" w:space="0" w:color="auto"/>
              <w:left w:val="single" w:sz="4" w:space="0" w:color="auto"/>
              <w:bottom w:val="single" w:sz="4" w:space="0" w:color="auto"/>
              <w:right w:val="single" w:sz="4" w:space="0" w:color="auto"/>
            </w:tcBorders>
            <w:vAlign w:val="center"/>
            <w:hideMark/>
          </w:tcPr>
          <w:p w14:paraId="666164AE" w14:textId="77777777" w:rsidR="00FB6F3A" w:rsidRPr="00FB6F3A" w:rsidRDefault="00FB6F3A" w:rsidP="00FB6F3A">
            <w:pPr>
              <w:pStyle w:val="Standard"/>
              <w:widowControl/>
              <w:tabs>
                <w:tab w:val="left" w:pos="-3186"/>
              </w:tabs>
              <w:jc w:val="both"/>
              <w:rPr>
                <w:rFonts w:ascii="Arial" w:hAnsi="Arial" w:cs="Arial"/>
                <w:bCs/>
                <w:color w:val="000000" w:themeColor="text1"/>
                <w:sz w:val="20"/>
                <w:szCs w:val="20"/>
              </w:rPr>
            </w:pPr>
            <w:r w:rsidRPr="00FB6F3A">
              <w:rPr>
                <w:rFonts w:ascii="Arial" w:eastAsia="Times New Roman" w:hAnsi="Arial" w:cs="Arial"/>
                <w:b/>
                <w:bCs/>
                <w:color w:val="000000"/>
                <w:sz w:val="20"/>
                <w:szCs w:val="20"/>
                <w:lang w:eastAsia="pt-BR"/>
              </w:rPr>
              <w:t>Previsão de aquisição para 12 (doze) meses</w:t>
            </w:r>
          </w:p>
        </w:tc>
      </w:tr>
      <w:tr w:rsidR="00FB6F3A" w:rsidRPr="00FB6F3A" w14:paraId="1E7AE010" w14:textId="77777777" w:rsidTr="00FB6F3A">
        <w:trPr>
          <w:cantSplit/>
          <w:trHeight w:val="1455"/>
        </w:trPr>
        <w:tc>
          <w:tcPr>
            <w:tcW w:w="506" w:type="dxa"/>
            <w:tcBorders>
              <w:top w:val="single" w:sz="4" w:space="0" w:color="auto"/>
              <w:left w:val="single" w:sz="4" w:space="0" w:color="auto"/>
              <w:bottom w:val="single" w:sz="4" w:space="0" w:color="auto"/>
              <w:right w:val="single" w:sz="4" w:space="0" w:color="auto"/>
            </w:tcBorders>
            <w:textDirection w:val="btLr"/>
            <w:hideMark/>
          </w:tcPr>
          <w:p w14:paraId="284CD7A0"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ITEM 01</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26F8D3C4"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66501-3113</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32E0DA59" w14:textId="77777777" w:rsidR="00FB6F3A" w:rsidRPr="00FB6F3A" w:rsidRDefault="00FB6F3A" w:rsidP="00FB6F3A">
            <w:pPr>
              <w:pStyle w:val="Standard"/>
              <w:widowControl/>
              <w:tabs>
                <w:tab w:val="left" w:pos="-3186"/>
              </w:tabs>
              <w:spacing w:line="360" w:lineRule="auto"/>
              <w:ind w:left="113" w:right="113"/>
              <w:jc w:val="center"/>
              <w:rPr>
                <w:rFonts w:ascii="Arial" w:hAnsi="Arial" w:cs="Arial"/>
                <w:b/>
                <w:bCs/>
                <w:color w:val="000000" w:themeColor="text1"/>
                <w:sz w:val="20"/>
                <w:szCs w:val="20"/>
              </w:rPr>
            </w:pPr>
            <w:r w:rsidRPr="00FB6F3A">
              <w:rPr>
                <w:rFonts w:ascii="Arial" w:hAnsi="Arial" w:cs="Arial"/>
                <w:b/>
                <w:bCs/>
                <w:color w:val="000000" w:themeColor="text1"/>
                <w:sz w:val="20"/>
                <w:szCs w:val="20"/>
              </w:rPr>
              <w:t>278483</w:t>
            </w:r>
          </w:p>
        </w:tc>
        <w:tc>
          <w:tcPr>
            <w:tcW w:w="1939" w:type="dxa"/>
            <w:tcBorders>
              <w:top w:val="single" w:sz="4" w:space="0" w:color="auto"/>
              <w:left w:val="single" w:sz="4" w:space="0" w:color="auto"/>
              <w:bottom w:val="single" w:sz="4" w:space="0" w:color="auto"/>
              <w:right w:val="single" w:sz="4" w:space="0" w:color="auto"/>
            </w:tcBorders>
            <w:vAlign w:val="center"/>
            <w:hideMark/>
          </w:tcPr>
          <w:p w14:paraId="7725617E" w14:textId="77777777" w:rsidR="00FB6F3A" w:rsidRPr="00FB6F3A" w:rsidRDefault="00FB6F3A" w:rsidP="00FB6F3A">
            <w:pPr>
              <w:pStyle w:val="Default"/>
              <w:rPr>
                <w:sz w:val="20"/>
                <w:szCs w:val="20"/>
              </w:rPr>
            </w:pPr>
            <w:r w:rsidRPr="00FB6F3A">
              <w:rPr>
                <w:sz w:val="20"/>
                <w:szCs w:val="20"/>
              </w:rPr>
              <w:t xml:space="preserve">Complexo B - Tiamina (Vitamina B1) + Piridoxina (Vitamina B6) + Nicotinamida (Vitamina B3) + Riboflavina (Vitamina B2) + </w:t>
            </w:r>
            <w:proofErr w:type="spellStart"/>
            <w:r w:rsidRPr="00FB6F3A">
              <w:rPr>
                <w:sz w:val="20"/>
                <w:szCs w:val="20"/>
              </w:rPr>
              <w:t>Dexpantenol</w:t>
            </w:r>
            <w:proofErr w:type="spellEnd"/>
            <w:r w:rsidRPr="00FB6F3A">
              <w:rPr>
                <w:sz w:val="20"/>
                <w:szCs w:val="20"/>
              </w:rPr>
              <w:t xml:space="preserve"> / </w:t>
            </w:r>
            <w:proofErr w:type="spellStart"/>
            <w:r w:rsidRPr="00FB6F3A">
              <w:rPr>
                <w:sz w:val="20"/>
                <w:szCs w:val="20"/>
              </w:rPr>
              <w:t>Pantotenato</w:t>
            </w:r>
            <w:proofErr w:type="spellEnd"/>
            <w:r w:rsidRPr="00FB6F3A">
              <w:rPr>
                <w:sz w:val="20"/>
                <w:szCs w:val="20"/>
              </w:rPr>
              <w:t xml:space="preserve"> de cálcio (Vitamina B5) + Biotina (Vitamina B8) , 3 a 5 mg + 2 a 3 mg + 10 a 20 mg + 2 a 3 mg + 3 mg + 0 a 0,25 mg/ml, Solução oral, Frasco gotejador, 20 ml, % DE VARIAÇÃO ACEITO (PARA CIMA) NA UNIDADE DE MEDIDA DA EMBALAGEM PRIMÁRIA: 50, VIA DE ADMINISTRAÇÃO: Oral, UNID. DE MEDIDA: Unitário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01A24D1"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HIWM</w:t>
            </w:r>
          </w:p>
        </w:tc>
        <w:tc>
          <w:tcPr>
            <w:tcW w:w="732" w:type="dxa"/>
            <w:tcBorders>
              <w:top w:val="single" w:sz="4" w:space="0" w:color="auto"/>
              <w:left w:val="single" w:sz="4" w:space="0" w:color="auto"/>
              <w:bottom w:val="single" w:sz="4" w:space="0" w:color="auto"/>
              <w:right w:val="single" w:sz="4" w:space="0" w:color="auto"/>
            </w:tcBorders>
            <w:vAlign w:val="center"/>
            <w:hideMark/>
          </w:tcPr>
          <w:p w14:paraId="3603647B"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B329495" w14:textId="77777777" w:rsidR="00FB6F3A" w:rsidRPr="00FB6F3A" w:rsidRDefault="00FB6F3A" w:rsidP="00FB6F3A">
            <w:pPr>
              <w:pStyle w:val="Standard"/>
              <w:widowControl/>
              <w:tabs>
                <w:tab w:val="left" w:pos="-3186"/>
              </w:tabs>
              <w:jc w:val="center"/>
              <w:rPr>
                <w:rFonts w:ascii="Arial" w:hAnsi="Arial" w:cs="Arial"/>
                <w:bCs/>
                <w:color w:val="000000" w:themeColor="text1"/>
                <w:sz w:val="20"/>
                <w:szCs w:val="20"/>
              </w:rPr>
            </w:pPr>
            <w:r w:rsidRPr="00FB6F3A">
              <w:rPr>
                <w:rFonts w:ascii="Arial" w:hAnsi="Arial" w:cs="Arial"/>
                <w:bCs/>
                <w:color w:val="000000" w:themeColor="text1"/>
                <w:sz w:val="20"/>
                <w:szCs w:val="20"/>
              </w:rPr>
              <w:t>06</w:t>
            </w:r>
          </w:p>
        </w:tc>
      </w:tr>
    </w:tbl>
    <w:p w14:paraId="6AF287AC" w14:textId="77777777" w:rsidR="00FB6F3A" w:rsidRPr="00FB6F3A" w:rsidRDefault="00FB6F3A" w:rsidP="00FB6F3A">
      <w:pPr>
        <w:autoSpaceDE w:val="0"/>
        <w:autoSpaceDN w:val="0"/>
        <w:adjustRightInd w:val="0"/>
        <w:spacing w:line="360" w:lineRule="auto"/>
        <w:jc w:val="both"/>
        <w:rPr>
          <w:rFonts w:ascii="Arial" w:hAnsi="Arial" w:cs="Arial"/>
          <w:b/>
          <w:bCs/>
        </w:rPr>
      </w:pPr>
    </w:p>
    <w:p w14:paraId="431A0BB9" w14:textId="77777777" w:rsidR="00FB6F3A" w:rsidRPr="00FB6F3A" w:rsidRDefault="00FB6F3A" w:rsidP="00837723">
      <w:pPr>
        <w:autoSpaceDE w:val="0"/>
        <w:autoSpaceDN w:val="0"/>
        <w:adjustRightInd w:val="0"/>
        <w:spacing w:line="360" w:lineRule="auto"/>
        <w:jc w:val="both"/>
        <w:rPr>
          <w:rFonts w:ascii="Arial" w:hAnsi="Arial" w:cs="Arial"/>
          <w:b/>
          <w:bCs/>
        </w:rPr>
      </w:pPr>
    </w:p>
    <w:p w14:paraId="5940A12E"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Ressaltamos que estes itens resultaram deserto no PE 242/2022 - PROTOCOLO 19.071.387-3.</w:t>
      </w:r>
    </w:p>
    <w:p w14:paraId="1F744DE9"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 xml:space="preserve">Considerando que os itens resultantes em deserto, são medicamentos antimicrobiano, ou seja, </w:t>
      </w:r>
      <w:r w:rsidRPr="00FB6F3A">
        <w:rPr>
          <w:rFonts w:ascii="Arial" w:hAnsi="Arial" w:cs="Arial"/>
          <w:b/>
        </w:rPr>
        <w:t xml:space="preserve">agem principalmente </w:t>
      </w:r>
      <w:r w:rsidRPr="00FB6F3A">
        <w:rPr>
          <w:rStyle w:val="hgkelc"/>
          <w:rFonts w:ascii="Arial" w:hAnsi="Arial" w:cs="Arial"/>
          <w:lang w:val="pt-PT"/>
        </w:rPr>
        <w:t>sobre microorganismos inibindo o seu crescimento ou causando a sua destruição</w:t>
      </w:r>
      <w:r w:rsidRPr="00FB6F3A">
        <w:rPr>
          <w:rFonts w:ascii="Arial" w:hAnsi="Arial" w:cs="Arial"/>
          <w:b/>
        </w:rPr>
        <w:t xml:space="preserve">, onde </w:t>
      </w:r>
      <w:r w:rsidRPr="00FB6F3A">
        <w:rPr>
          <w:rFonts w:ascii="Arial" w:hAnsi="Arial" w:cs="Arial"/>
          <w:b/>
          <w:bCs/>
        </w:rPr>
        <w:t>requerem após diagnostico o início imediato e manutenção do tratamento. Desta forma, as Unidades Hospitalares estarão desprovidas de estoques dos itens, até que novo processo licitatório ocorra, prejudicando a adesão aos tratamentos dos pacientes e utilização dos protocolos medicamentosos em questão.</w:t>
      </w:r>
    </w:p>
    <w:p w14:paraId="4BDDA236" w14:textId="77777777" w:rsidR="00FB6F3A" w:rsidRPr="00FB6F3A" w:rsidRDefault="00FB6F3A" w:rsidP="00FB6F3A">
      <w:pPr>
        <w:autoSpaceDE w:val="0"/>
        <w:autoSpaceDN w:val="0"/>
        <w:adjustRightInd w:val="0"/>
        <w:spacing w:line="360" w:lineRule="auto"/>
        <w:ind w:left="539" w:firstLine="708"/>
        <w:jc w:val="both"/>
        <w:rPr>
          <w:rFonts w:ascii="Arial" w:hAnsi="Arial" w:cs="Arial"/>
          <w:b/>
          <w:bCs/>
        </w:rPr>
      </w:pPr>
      <w:r w:rsidRPr="00FB6F3A">
        <w:rPr>
          <w:rFonts w:ascii="Arial" w:hAnsi="Arial" w:cs="Arial"/>
          <w:b/>
          <w:bCs/>
        </w:rPr>
        <w:t xml:space="preserve">Diante do fato, buscando a manutenção dos tratamentos a nível Hospitalar, considerando que o paciente o qual faz uso dos medicamentos relatados, necessitam a manutenção da dose usual. Visando </w:t>
      </w:r>
      <w:r w:rsidRPr="00FB6F3A">
        <w:rPr>
          <w:rFonts w:ascii="Arial" w:hAnsi="Arial" w:cs="Arial"/>
          <w:b/>
        </w:rPr>
        <w:t xml:space="preserve">atender as </w:t>
      </w:r>
      <w:r w:rsidRPr="00FB6F3A">
        <w:rPr>
          <w:rStyle w:val="hgkelc"/>
          <w:rFonts w:ascii="Arial" w:hAnsi="Arial" w:cs="Arial"/>
        </w:rPr>
        <w:t>necessidades dos pacientes, buscando a manutenção da integridade e segurança destes</w:t>
      </w:r>
      <w:r w:rsidRPr="00FB6F3A">
        <w:rPr>
          <w:rFonts w:ascii="Arial" w:hAnsi="Arial" w:cs="Arial"/>
          <w:b/>
        </w:rPr>
        <w:t>, de forma a garantir a eficiência e efetividade dos serviços oferecidos usuários do SUS – Sistema Único de Saúde – no estado do Paraná.</w:t>
      </w:r>
    </w:p>
    <w:p w14:paraId="10A4BECC"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Considerando os objetivos principais da gestão da farmácia hospitalar: garantir o abastecimento, dispensação, acesso, controle, rastreabilidade e uso racional de medicamentos; assegurar o desenvolvimento de práticas clínico-assistenciais que permitam monitorar a utilização </w:t>
      </w:r>
      <w:r w:rsidRPr="00FB6F3A">
        <w:rPr>
          <w:rFonts w:ascii="Arial" w:hAnsi="Arial" w:cs="Arial"/>
        </w:rPr>
        <w:lastRenderedPageBreak/>
        <w:t>de medicamentos e outras tecnologias em saúde; otimizar a relação entre custo, benefício dos processos assistenciais; desenvolver ações de assistência farmacêutica, articuladas e sincronizadas com as diretrizes institucionais.</w:t>
      </w:r>
    </w:p>
    <w:p w14:paraId="1B384F09"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5A3CC537" w14:textId="77777777" w:rsidR="00FB6F3A" w:rsidRPr="00FB6F3A" w:rsidRDefault="00FB6F3A" w:rsidP="00FB6F3A">
      <w:pPr>
        <w:spacing w:line="360" w:lineRule="auto"/>
        <w:ind w:firstLine="851"/>
        <w:jc w:val="both"/>
        <w:rPr>
          <w:rFonts w:ascii="Arial" w:hAnsi="Arial" w:cs="Arial"/>
        </w:rPr>
      </w:pPr>
      <w:r w:rsidRPr="00FB6F3A">
        <w:rPr>
          <w:rFonts w:ascii="Arial" w:hAnsi="Arial" w:cs="Arial"/>
        </w:rPr>
        <w:t xml:space="preserve">Devido a inclusão das novas Unidades na Gestão </w:t>
      </w:r>
      <w:proofErr w:type="spellStart"/>
      <w:r w:rsidRPr="00FB6F3A">
        <w:rPr>
          <w:rFonts w:ascii="Arial" w:hAnsi="Arial" w:cs="Arial"/>
        </w:rPr>
        <w:t>Funeas</w:t>
      </w:r>
      <w:proofErr w:type="spellEnd"/>
      <w:r w:rsidRPr="00FB6F3A">
        <w:rPr>
          <w:rFonts w:ascii="Arial" w:hAnsi="Arial" w:cs="Arial"/>
        </w:rPr>
        <w:t>, aumento de cirurgias e realização de procedimento nas Unidades, os quantitativos foram revisados pelos farmacêuticos, através da quantificação em planilha.</w:t>
      </w:r>
    </w:p>
    <w:p w14:paraId="6866AA9E" w14:textId="77777777" w:rsidR="00FB6F3A" w:rsidRPr="00FB6F3A" w:rsidRDefault="00FB6F3A" w:rsidP="00FB6F3A">
      <w:pPr>
        <w:spacing w:after="103" w:line="360" w:lineRule="auto"/>
        <w:ind w:firstLine="851"/>
        <w:jc w:val="both"/>
        <w:rPr>
          <w:rFonts w:ascii="Arial" w:hAnsi="Arial" w:cs="Arial"/>
        </w:rPr>
      </w:pPr>
      <w:r w:rsidRPr="00FB6F3A">
        <w:rPr>
          <w:rFonts w:ascii="Arial" w:hAnsi="Arial" w:cs="Arial"/>
        </w:rPr>
        <w:t xml:space="preserve">Por fim, esta contratação visa atender as </w:t>
      </w:r>
      <w:r w:rsidRPr="00FB6F3A">
        <w:rPr>
          <w:rStyle w:val="hgkelc"/>
          <w:rFonts w:ascii="Arial" w:hAnsi="Arial" w:cs="Arial"/>
        </w:rPr>
        <w:t>necessidades dos pacientes, buscando a manutenção da integridade e segurança destes</w:t>
      </w:r>
      <w:r w:rsidRPr="00FB6F3A">
        <w:rPr>
          <w:rFonts w:ascii="Arial" w:hAnsi="Arial" w:cs="Arial"/>
        </w:rPr>
        <w:t>, de forma a garantir a eficiência e efetividade dos serviços oferecidos usuários do SUS – Sistema Único de Saúde – no estado do Paraná.</w:t>
      </w:r>
    </w:p>
    <w:p w14:paraId="45AC4EDB" w14:textId="77777777" w:rsidR="00FB6F3A" w:rsidRPr="00FB6F3A" w:rsidRDefault="00FB6F3A" w:rsidP="00FB6F3A">
      <w:pPr>
        <w:spacing w:after="103" w:line="360" w:lineRule="auto"/>
        <w:ind w:firstLine="1247"/>
        <w:jc w:val="both"/>
        <w:rPr>
          <w:rFonts w:ascii="Arial" w:hAnsi="Arial" w:cs="Arial"/>
          <w:b/>
          <w:bCs/>
        </w:rPr>
      </w:pPr>
    </w:p>
    <w:p w14:paraId="7E5A1121"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DOS PRODUTOS GERADOS</w:t>
      </w:r>
    </w:p>
    <w:p w14:paraId="60501C91" w14:textId="77777777" w:rsidR="00FB6F3A" w:rsidRPr="00FB6F3A" w:rsidRDefault="00FB6F3A" w:rsidP="00FB6F3A">
      <w:pPr>
        <w:spacing w:line="360" w:lineRule="auto"/>
        <w:jc w:val="both"/>
        <w:rPr>
          <w:rFonts w:ascii="Arial" w:hAnsi="Arial" w:cs="Arial"/>
        </w:rPr>
      </w:pPr>
      <w:r w:rsidRPr="00FB6F3A">
        <w:rPr>
          <w:rFonts w:ascii="Arial" w:hAnsi="Arial" w:cs="Arial"/>
        </w:rPr>
        <w:t xml:space="preserve">        A </w:t>
      </w:r>
      <w:proofErr w:type="spellStart"/>
      <w:r w:rsidRPr="00FB6F3A">
        <w:rPr>
          <w:rFonts w:ascii="Arial" w:hAnsi="Arial" w:cs="Arial"/>
        </w:rPr>
        <w:t>vantajosidade</w:t>
      </w:r>
      <w:proofErr w:type="spellEnd"/>
      <w:r w:rsidRPr="00FB6F3A">
        <w:rPr>
          <w:rFonts w:ascii="Arial" w:hAnsi="Arial" w:cs="Arial"/>
        </w:rPr>
        <w:t xml:space="preserve"> e conveniência na aquisição dos medicamentos listados, é propiciar um atendimento com garantia na natureza contínua dos serviços prestados, trazendo os seguintes benefícios:</w:t>
      </w:r>
    </w:p>
    <w:p w14:paraId="7C64D0FF" w14:textId="77777777" w:rsidR="00FB6F3A" w:rsidRPr="00FB6F3A" w:rsidRDefault="00FB6F3A" w:rsidP="00FB6F3A">
      <w:pPr>
        <w:spacing w:line="360" w:lineRule="auto"/>
        <w:jc w:val="both"/>
        <w:rPr>
          <w:rFonts w:ascii="Arial" w:hAnsi="Arial" w:cs="Arial"/>
        </w:rPr>
      </w:pPr>
    </w:p>
    <w:tbl>
      <w:tblPr>
        <w:tblStyle w:val="Tabelacomgrade"/>
        <w:tblW w:w="0" w:type="auto"/>
        <w:tblLook w:val="04A0" w:firstRow="1" w:lastRow="0" w:firstColumn="1" w:lastColumn="0" w:noHBand="0" w:noVBand="1"/>
      </w:tblPr>
      <w:tblGrid>
        <w:gridCol w:w="3115"/>
        <w:gridCol w:w="3145"/>
        <w:gridCol w:w="3367"/>
      </w:tblGrid>
      <w:tr w:rsidR="00FB6F3A" w:rsidRPr="00FB6F3A" w14:paraId="79507F6C" w14:textId="77777777" w:rsidTr="00FB6F3A">
        <w:tc>
          <w:tcPr>
            <w:tcW w:w="3229" w:type="dxa"/>
          </w:tcPr>
          <w:p w14:paraId="42B2BD2C"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Diretoria/ Área</w:t>
            </w:r>
          </w:p>
        </w:tc>
        <w:tc>
          <w:tcPr>
            <w:tcW w:w="3254" w:type="dxa"/>
          </w:tcPr>
          <w:p w14:paraId="5E10289C"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Unidade Administrativa</w:t>
            </w:r>
          </w:p>
        </w:tc>
        <w:tc>
          <w:tcPr>
            <w:tcW w:w="3430" w:type="dxa"/>
          </w:tcPr>
          <w:p w14:paraId="2CF2CA88" w14:textId="77777777" w:rsidR="00FB6F3A" w:rsidRPr="00FB6F3A" w:rsidRDefault="00FB6F3A" w:rsidP="00FB6F3A">
            <w:pPr>
              <w:spacing w:line="360" w:lineRule="auto"/>
              <w:jc w:val="both"/>
              <w:rPr>
                <w:rFonts w:ascii="Arial" w:hAnsi="Arial" w:cs="Arial"/>
                <w:color w:val="000000"/>
                <w:szCs w:val="22"/>
              </w:rPr>
            </w:pPr>
            <w:r w:rsidRPr="00FB6F3A">
              <w:rPr>
                <w:rFonts w:ascii="Arial" w:hAnsi="Arial" w:cs="Arial"/>
                <w:color w:val="000000"/>
                <w:szCs w:val="22"/>
              </w:rPr>
              <w:t>Produtos Gerados</w:t>
            </w:r>
          </w:p>
        </w:tc>
      </w:tr>
      <w:tr w:rsidR="00FB6F3A" w:rsidRPr="00FB6F3A" w14:paraId="6BADCF5E" w14:textId="77777777" w:rsidTr="00FB6F3A">
        <w:tc>
          <w:tcPr>
            <w:tcW w:w="3229" w:type="dxa"/>
          </w:tcPr>
          <w:p w14:paraId="20353F08"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Diretoria de Enfermagem</w:t>
            </w:r>
          </w:p>
        </w:tc>
        <w:tc>
          <w:tcPr>
            <w:tcW w:w="3254" w:type="dxa"/>
          </w:tcPr>
          <w:p w14:paraId="35BFE5DB"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Emergência</w:t>
            </w:r>
          </w:p>
          <w:p w14:paraId="1DE1D522"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Centro Cirúrgico</w:t>
            </w:r>
          </w:p>
          <w:p w14:paraId="7BBA3345"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Clínica Médica</w:t>
            </w:r>
          </w:p>
          <w:p w14:paraId="314DC791"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Clínica Cirúrgica</w:t>
            </w:r>
          </w:p>
          <w:p w14:paraId="0FEDD5ED"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UTI Adulto</w:t>
            </w:r>
          </w:p>
          <w:p w14:paraId="3234AD2E"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UTI Respiratória</w:t>
            </w:r>
          </w:p>
          <w:p w14:paraId="29E48D83"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UTI Neonatal</w:t>
            </w:r>
          </w:p>
          <w:p w14:paraId="40159F39"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Pediatria</w:t>
            </w:r>
          </w:p>
          <w:p w14:paraId="188A363C" w14:textId="77777777" w:rsidR="00FB6F3A" w:rsidRPr="00FB6F3A" w:rsidRDefault="00FB6F3A" w:rsidP="00FB6F3A">
            <w:pPr>
              <w:jc w:val="both"/>
              <w:rPr>
                <w:rFonts w:ascii="Arial" w:hAnsi="Arial" w:cs="Arial"/>
                <w:color w:val="000000"/>
                <w:szCs w:val="22"/>
              </w:rPr>
            </w:pPr>
            <w:r w:rsidRPr="00FB6F3A">
              <w:rPr>
                <w:rFonts w:ascii="Arial" w:hAnsi="Arial" w:cs="Arial"/>
                <w:color w:val="000000"/>
                <w:szCs w:val="22"/>
              </w:rPr>
              <w:t>Maternidade</w:t>
            </w:r>
          </w:p>
          <w:p w14:paraId="094F5E30" w14:textId="77777777" w:rsidR="00FB6F3A" w:rsidRPr="00FB6F3A" w:rsidRDefault="00FB6F3A" w:rsidP="00FB6F3A">
            <w:pPr>
              <w:jc w:val="both"/>
              <w:rPr>
                <w:rFonts w:ascii="Arial" w:hAnsi="Arial" w:cs="Arial"/>
                <w:color w:val="000000"/>
                <w:szCs w:val="22"/>
              </w:rPr>
            </w:pPr>
          </w:p>
          <w:p w14:paraId="44DD085E" w14:textId="77777777" w:rsidR="00FB6F3A" w:rsidRPr="00FB6F3A" w:rsidRDefault="00FB6F3A" w:rsidP="00FB6F3A">
            <w:pPr>
              <w:jc w:val="both"/>
              <w:rPr>
                <w:rFonts w:ascii="Arial" w:hAnsi="Arial" w:cs="Arial"/>
                <w:color w:val="000000"/>
                <w:szCs w:val="22"/>
              </w:rPr>
            </w:pPr>
          </w:p>
          <w:p w14:paraId="6E96C913" w14:textId="77777777" w:rsidR="00FB6F3A" w:rsidRPr="00FB6F3A" w:rsidRDefault="00FB6F3A" w:rsidP="00FB6F3A">
            <w:pPr>
              <w:jc w:val="both"/>
              <w:rPr>
                <w:rFonts w:ascii="Arial" w:hAnsi="Arial" w:cs="Arial"/>
                <w:color w:val="000000"/>
                <w:szCs w:val="22"/>
              </w:rPr>
            </w:pPr>
          </w:p>
        </w:tc>
        <w:tc>
          <w:tcPr>
            <w:tcW w:w="3430" w:type="dxa"/>
          </w:tcPr>
          <w:p w14:paraId="29ACD052"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lastRenderedPageBreak/>
              <w:t>Possibilidade de alta hospitalar;</w:t>
            </w:r>
          </w:p>
          <w:p w14:paraId="65C09B59"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Promoção, proteção e recuperação dos pacientes;</w:t>
            </w:r>
          </w:p>
          <w:p w14:paraId="2914A310"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Qualidade dos serviços prestados pelas Unidades Hospitalares;</w:t>
            </w:r>
          </w:p>
          <w:p w14:paraId="17C06EB6"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Garantir o provisionamento dos estoques;</w:t>
            </w:r>
          </w:p>
          <w:p w14:paraId="4C64040C"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Prover a garantia de início e termino dos tratamentos farmacológicos;</w:t>
            </w:r>
          </w:p>
          <w:p w14:paraId="33FC2896" w14:textId="77777777" w:rsidR="00FB6F3A" w:rsidRPr="00FB6F3A" w:rsidRDefault="00FB6F3A" w:rsidP="00FB6F3A">
            <w:pPr>
              <w:pStyle w:val="PargrafodaLista"/>
              <w:numPr>
                <w:ilvl w:val="0"/>
                <w:numId w:val="25"/>
              </w:numPr>
              <w:suppressAutoHyphens w:val="0"/>
              <w:spacing w:line="276" w:lineRule="auto"/>
              <w:rPr>
                <w:rFonts w:ascii="Arial" w:hAnsi="Arial" w:cs="Arial"/>
                <w:color w:val="000000"/>
                <w:szCs w:val="22"/>
              </w:rPr>
            </w:pPr>
            <w:r w:rsidRPr="00FB6F3A">
              <w:rPr>
                <w:rFonts w:ascii="Arial" w:hAnsi="Arial" w:cs="Arial"/>
                <w:color w:val="000000"/>
                <w:szCs w:val="22"/>
              </w:rPr>
              <w:t>Execução dos protocolos clínicos.</w:t>
            </w:r>
            <w:r w:rsidRPr="00FB6F3A">
              <w:rPr>
                <w:rFonts w:ascii="Arial" w:hAnsi="Arial" w:cs="Arial"/>
                <w:szCs w:val="22"/>
              </w:rPr>
              <w:t xml:space="preserve"> </w:t>
            </w:r>
          </w:p>
        </w:tc>
      </w:tr>
    </w:tbl>
    <w:p w14:paraId="43D6BD9A" w14:textId="77777777" w:rsidR="00FB6F3A" w:rsidRPr="00FB6F3A" w:rsidRDefault="00FB6F3A" w:rsidP="00FB6F3A">
      <w:pPr>
        <w:spacing w:line="360" w:lineRule="auto"/>
        <w:jc w:val="both"/>
        <w:rPr>
          <w:rFonts w:ascii="Arial" w:hAnsi="Arial" w:cs="Arial"/>
        </w:rPr>
      </w:pPr>
    </w:p>
    <w:p w14:paraId="20349E0E" w14:textId="77777777" w:rsidR="00FB6F3A" w:rsidRPr="00FB6F3A" w:rsidRDefault="00FB6F3A" w:rsidP="00FB6F3A">
      <w:pPr>
        <w:pStyle w:val="PargrafodaLista"/>
        <w:spacing w:line="360" w:lineRule="auto"/>
        <w:ind w:left="1491"/>
        <w:contextualSpacing/>
        <w:jc w:val="both"/>
        <w:rPr>
          <w:rFonts w:ascii="Arial" w:hAnsi="Arial" w:cs="Arial"/>
          <w:sz w:val="22"/>
          <w:szCs w:val="22"/>
        </w:rPr>
      </w:pPr>
    </w:p>
    <w:p w14:paraId="1DA04226" w14:textId="77777777" w:rsidR="00FB6F3A" w:rsidRPr="00FB6F3A" w:rsidRDefault="00FB6F3A" w:rsidP="00FB6F3A">
      <w:pPr>
        <w:spacing w:after="103" w:line="360" w:lineRule="auto"/>
        <w:ind w:firstLine="1247"/>
        <w:jc w:val="both"/>
        <w:rPr>
          <w:rFonts w:ascii="Arial" w:hAnsi="Arial" w:cs="Arial"/>
          <w:b/>
          <w:bCs/>
        </w:rPr>
      </w:pPr>
      <w:r w:rsidRPr="00FB6F3A">
        <w:rPr>
          <w:rFonts w:ascii="Arial" w:hAnsi="Arial" w:cs="Arial"/>
          <w:b/>
          <w:bCs/>
        </w:rPr>
        <w:t>DA VIABILIDADE DA CONTRATAÇÃO</w:t>
      </w:r>
    </w:p>
    <w:p w14:paraId="28167516" w14:textId="77777777" w:rsidR="00FB6F3A" w:rsidRPr="00FB6F3A" w:rsidRDefault="00FB6F3A" w:rsidP="00FB6F3A">
      <w:pPr>
        <w:spacing w:after="103" w:line="360" w:lineRule="auto"/>
        <w:ind w:firstLine="1247"/>
        <w:jc w:val="both"/>
        <w:rPr>
          <w:rFonts w:ascii="Arial" w:hAnsi="Arial" w:cs="Arial"/>
        </w:rPr>
      </w:pPr>
      <w:r w:rsidRPr="00FB6F3A">
        <w:rPr>
          <w:rFonts w:ascii="Arial" w:hAnsi="Arial" w:cs="Arial"/>
        </w:rPr>
        <w:t>A presente aquisição busca executar atividades com o fim de atingir as metas estabelecidas para as Unidades geridas no Plano Operativo do Contrato de Gestão nº1/2021.</w:t>
      </w:r>
    </w:p>
    <w:p w14:paraId="00969933" w14:textId="77777777" w:rsidR="00FB6F3A" w:rsidRPr="00FB6F3A" w:rsidRDefault="00FB6F3A" w:rsidP="00FB6F3A">
      <w:pPr>
        <w:spacing w:line="360" w:lineRule="auto"/>
        <w:ind w:firstLine="1134"/>
        <w:jc w:val="both"/>
        <w:rPr>
          <w:rFonts w:ascii="Arial" w:hAnsi="Arial" w:cs="Arial"/>
        </w:rPr>
      </w:pPr>
      <w:r w:rsidRPr="00FB6F3A">
        <w:rPr>
          <w:rFonts w:ascii="Arial" w:hAnsi="Arial" w:cs="Arial"/>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137C520D" w14:textId="271A33F1" w:rsidR="00EF63FB" w:rsidRPr="009A6666" w:rsidRDefault="00EF63FB" w:rsidP="00FB6F3A">
      <w:pPr>
        <w:pStyle w:val="Standard"/>
        <w:widowControl/>
        <w:tabs>
          <w:tab w:val="left" w:pos="-3186"/>
        </w:tabs>
        <w:spacing w:line="360" w:lineRule="auto"/>
        <w:ind w:firstLine="851"/>
        <w:jc w:val="both"/>
        <w:rPr>
          <w:rFonts w:ascii="Arial" w:eastAsia="Arial" w:hAnsi="Arial" w:cs="Arial"/>
          <w:b/>
          <w:bCs/>
          <w:color w:val="000000" w:themeColor="text1"/>
          <w:sz w:val="22"/>
        </w:rPr>
      </w:pP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xml:space="preserve">), tais como mercúrio (Hg), chumbo </w:t>
      </w:r>
      <w:r w:rsidRPr="00691CA0">
        <w:rPr>
          <w:rFonts w:ascii="Arial" w:hAnsi="Arial" w:cs="Arial"/>
          <w:sz w:val="22"/>
          <w:szCs w:val="20"/>
        </w:rPr>
        <w:lastRenderedPageBreak/>
        <w:t>(</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lastRenderedPageBreak/>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652D8ADB"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5" w:name="_Hlk110323478"/>
      <w:r w:rsidRPr="0084772B">
        <w:rPr>
          <w:rFonts w:ascii="Arial" w:hAnsi="Arial" w:cs="Arial"/>
          <w:b/>
          <w:bCs/>
          <w:sz w:val="22"/>
          <w:szCs w:val="22"/>
        </w:rPr>
        <w:t>12.7 Gestor e fiscal do contrato:</w:t>
      </w:r>
    </w:p>
    <w:p w14:paraId="6291C52A" w14:textId="77777777" w:rsidR="007C69E6" w:rsidRPr="007C69E6" w:rsidRDefault="007C69E6" w:rsidP="007C69E6">
      <w:pPr>
        <w:spacing w:after="0"/>
        <w:rPr>
          <w:rFonts w:ascii="Arial" w:hAnsi="Arial" w:cs="Arial"/>
        </w:rPr>
      </w:pPr>
      <w:bookmarkStart w:id="6" w:name="_Hlk94876545"/>
      <w:bookmarkEnd w:id="5"/>
      <w:r w:rsidRPr="007C69E6">
        <w:rPr>
          <w:rFonts w:ascii="Arial" w:hAnsi="Arial" w:cs="Arial"/>
          <w:b/>
        </w:rPr>
        <w:t xml:space="preserve">Gestor: </w:t>
      </w:r>
      <w:r w:rsidRPr="007C69E6">
        <w:rPr>
          <w:rFonts w:ascii="Arial" w:hAnsi="Arial" w:cs="Arial"/>
        </w:rPr>
        <w:t xml:space="preserve">Daiane Regina Feliz – Presidente Comissão Permanente de Recebimento e Liquidação de Materiais da </w:t>
      </w:r>
      <w:r w:rsidRPr="007C69E6">
        <w:rPr>
          <w:rFonts w:ascii="Arial" w:hAnsi="Arial" w:cs="Arial"/>
          <w:b/>
        </w:rPr>
        <w:t>FUNEAS</w:t>
      </w:r>
    </w:p>
    <w:p w14:paraId="0D45D4E5"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043.942.969-27</w:t>
      </w:r>
    </w:p>
    <w:p w14:paraId="4B05199A" w14:textId="77777777" w:rsidR="007C69E6" w:rsidRPr="007C69E6" w:rsidRDefault="007C69E6" w:rsidP="007C69E6">
      <w:pPr>
        <w:spacing w:after="0"/>
        <w:rPr>
          <w:rFonts w:ascii="Arial" w:hAnsi="Arial" w:cs="Arial"/>
          <w:szCs w:val="20"/>
        </w:rPr>
      </w:pPr>
    </w:p>
    <w:p w14:paraId="1DB3FC91" w14:textId="77777777" w:rsidR="007C69E6" w:rsidRPr="007C69E6" w:rsidRDefault="007C69E6" w:rsidP="007C69E6">
      <w:pPr>
        <w:spacing w:after="0"/>
        <w:rPr>
          <w:rFonts w:ascii="Arial" w:hAnsi="Arial" w:cs="Arial"/>
        </w:rPr>
      </w:pPr>
      <w:r w:rsidRPr="007C69E6">
        <w:rPr>
          <w:rFonts w:ascii="Arial" w:hAnsi="Arial" w:cs="Arial"/>
          <w:b/>
        </w:rPr>
        <w:t xml:space="preserve">Fiscal: </w:t>
      </w:r>
      <w:r w:rsidRPr="007C69E6">
        <w:rPr>
          <w:rFonts w:ascii="Arial" w:hAnsi="Arial" w:cs="Arial"/>
        </w:rPr>
        <w:t>Ana Carla dos Santos</w:t>
      </w:r>
      <w:r w:rsidRPr="007C69E6">
        <w:rPr>
          <w:rFonts w:ascii="Arial" w:hAnsi="Arial" w:cs="Arial"/>
          <w:b/>
        </w:rPr>
        <w:t xml:space="preserve"> </w:t>
      </w:r>
      <w:r w:rsidRPr="007C69E6">
        <w:rPr>
          <w:rFonts w:ascii="Arial" w:hAnsi="Arial" w:cs="Arial"/>
        </w:rPr>
        <w:t xml:space="preserve">– Membro Comissão Permanente de Recebimento e Liquidação de Materiais da </w:t>
      </w:r>
      <w:r w:rsidRPr="007C69E6">
        <w:rPr>
          <w:rFonts w:ascii="Arial" w:hAnsi="Arial" w:cs="Arial"/>
          <w:b/>
        </w:rPr>
        <w:t>FUNEAS</w:t>
      </w:r>
    </w:p>
    <w:p w14:paraId="1CED156E"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949.727.969-87</w:t>
      </w:r>
    </w:p>
    <w:p w14:paraId="4E5BCCC4" w14:textId="77777777" w:rsidR="007C69E6" w:rsidRPr="007C69E6" w:rsidRDefault="007C69E6" w:rsidP="007C69E6">
      <w:pPr>
        <w:spacing w:after="0"/>
        <w:rPr>
          <w:rFonts w:ascii="Arial" w:hAnsi="Arial" w:cs="Arial"/>
          <w:szCs w:val="20"/>
        </w:rPr>
      </w:pPr>
    </w:p>
    <w:p w14:paraId="32CB50B3" w14:textId="77777777" w:rsidR="007C69E6" w:rsidRPr="007C69E6" w:rsidRDefault="007C69E6" w:rsidP="007C69E6">
      <w:pPr>
        <w:spacing w:after="0"/>
        <w:rPr>
          <w:rFonts w:ascii="Arial" w:hAnsi="Arial" w:cs="Arial"/>
        </w:rPr>
      </w:pPr>
      <w:r w:rsidRPr="007C69E6">
        <w:rPr>
          <w:rFonts w:ascii="Arial" w:hAnsi="Arial" w:cs="Arial"/>
          <w:b/>
        </w:rPr>
        <w:t xml:space="preserve">Fiscal: </w:t>
      </w:r>
      <w:proofErr w:type="spellStart"/>
      <w:r w:rsidRPr="007C69E6">
        <w:rPr>
          <w:rFonts w:ascii="Arial" w:hAnsi="Arial" w:cs="Arial"/>
        </w:rPr>
        <w:t>Francinelia</w:t>
      </w:r>
      <w:proofErr w:type="spellEnd"/>
      <w:r w:rsidRPr="007C69E6">
        <w:rPr>
          <w:rFonts w:ascii="Arial" w:hAnsi="Arial" w:cs="Arial"/>
        </w:rPr>
        <w:t xml:space="preserve"> Santos Ferreira Xavier</w:t>
      </w:r>
      <w:r w:rsidRPr="007C69E6">
        <w:rPr>
          <w:rFonts w:ascii="Arial" w:hAnsi="Arial" w:cs="Arial"/>
          <w:b/>
        </w:rPr>
        <w:t xml:space="preserve"> </w:t>
      </w:r>
      <w:r w:rsidRPr="007C69E6">
        <w:rPr>
          <w:rFonts w:ascii="Arial" w:hAnsi="Arial" w:cs="Arial"/>
        </w:rPr>
        <w:t xml:space="preserve">– Membro Comissão Permanente de Recebimento e Liquidação de Materiais da </w:t>
      </w:r>
      <w:r w:rsidRPr="007C69E6">
        <w:rPr>
          <w:rFonts w:ascii="Arial" w:hAnsi="Arial" w:cs="Arial"/>
          <w:b/>
        </w:rPr>
        <w:t>FUNEAS</w:t>
      </w:r>
    </w:p>
    <w:p w14:paraId="3CE3A02B" w14:textId="77777777" w:rsidR="007C69E6" w:rsidRPr="007C69E6" w:rsidRDefault="007C69E6" w:rsidP="007C69E6">
      <w:pPr>
        <w:spacing w:after="0"/>
        <w:rPr>
          <w:rFonts w:ascii="Arial" w:hAnsi="Arial" w:cs="Arial"/>
          <w:szCs w:val="20"/>
        </w:rPr>
      </w:pPr>
      <w:r w:rsidRPr="007C69E6">
        <w:rPr>
          <w:rFonts w:ascii="Arial" w:hAnsi="Arial" w:cs="Arial"/>
          <w:b/>
          <w:szCs w:val="20"/>
        </w:rPr>
        <w:t>CPF:</w:t>
      </w:r>
      <w:r w:rsidRPr="007C69E6">
        <w:rPr>
          <w:rFonts w:ascii="Arial" w:hAnsi="Arial" w:cs="Arial"/>
          <w:szCs w:val="20"/>
        </w:rPr>
        <w:t xml:space="preserve"> 033.072.009-09</w:t>
      </w:r>
    </w:p>
    <w:p w14:paraId="7EB655DB" w14:textId="77777777" w:rsidR="00302BC0" w:rsidRPr="00103874" w:rsidRDefault="00302BC0" w:rsidP="00FB1D5E">
      <w:pPr>
        <w:shd w:val="clear" w:color="auto" w:fill="FFFFFF"/>
        <w:spacing w:after="0" w:line="360" w:lineRule="auto"/>
        <w:jc w:val="both"/>
        <w:rPr>
          <w:rFonts w:ascii="Arial" w:hAnsi="Arial" w:cs="Arial"/>
          <w:color w:val="000000" w:themeColor="text1"/>
          <w:lang w:eastAsia="pt-BR"/>
        </w:rPr>
      </w:pPr>
    </w:p>
    <w:bookmarkEnd w:id="6"/>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514ED75"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t xml:space="preserve">MEDICAMENTOS – PSICOTRÓPICOS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236CCCA3"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 – PSICOTRÓPICOS 1</w:t>
      </w:r>
      <w:r w:rsidR="00D13C11">
        <w:rPr>
          <w:rFonts w:ascii="Arial" w:hAnsi="Arial" w:cs="Arial"/>
          <w:iCs/>
          <w:lang w:eastAsia="pt-BR"/>
        </w:rPr>
        <w:t xml:space="preserve">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27BA03CC"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837723">
        <w:rPr>
          <w:rStyle w:val="Fontepargpadro1"/>
          <w:rFonts w:ascii="Arial" w:eastAsia="Microsoft YaHei" w:hAnsi="Arial" w:cs="Arial"/>
          <w:bCs/>
          <w:color w:val="000000" w:themeColor="text1"/>
          <w:sz w:val="22"/>
          <w:szCs w:val="22"/>
        </w:rPr>
        <w:t>03</w:t>
      </w:r>
      <w:r w:rsidR="00235623">
        <w:rPr>
          <w:rStyle w:val="Fontepargpadro1"/>
          <w:rFonts w:ascii="Arial" w:eastAsia="Microsoft YaHei" w:hAnsi="Arial" w:cs="Arial"/>
          <w:bCs/>
          <w:color w:val="000000" w:themeColor="text1"/>
          <w:sz w:val="22"/>
          <w:szCs w:val="22"/>
        </w:rPr>
        <w:t xml:space="preserve"> </w:t>
      </w:r>
      <w:r w:rsidR="00AA4A85" w:rsidRPr="0084772B">
        <w:rPr>
          <w:rStyle w:val="Fontepargpadro1"/>
          <w:rFonts w:ascii="Arial" w:eastAsia="Microsoft YaHei" w:hAnsi="Arial" w:cs="Arial"/>
          <w:bCs/>
          <w:color w:val="000000" w:themeColor="text1"/>
          <w:sz w:val="22"/>
          <w:szCs w:val="22"/>
        </w:rPr>
        <w:t xml:space="preserve">de </w:t>
      </w:r>
      <w:r w:rsidR="00837723">
        <w:rPr>
          <w:rStyle w:val="Fontepargpadro1"/>
          <w:rFonts w:ascii="Arial" w:eastAsia="Microsoft YaHei" w:hAnsi="Arial" w:cs="Arial"/>
          <w:bCs/>
          <w:color w:val="000000" w:themeColor="text1"/>
          <w:sz w:val="22"/>
          <w:szCs w:val="22"/>
        </w:rPr>
        <w:t>fevereiro</w:t>
      </w:r>
      <w:r w:rsidR="00AA4A85" w:rsidRPr="0084772B">
        <w:rPr>
          <w:rStyle w:val="Fontepargpadro1"/>
          <w:rFonts w:ascii="Arial" w:eastAsia="Microsoft YaHei" w:hAnsi="Arial" w:cs="Arial"/>
          <w:bCs/>
          <w:color w:val="000000" w:themeColor="text1"/>
          <w:sz w:val="22"/>
          <w:szCs w:val="22"/>
        </w:rPr>
        <w:t xml:space="preserve"> de 202</w:t>
      </w:r>
      <w:r w:rsidR="00916196">
        <w:rPr>
          <w:rStyle w:val="Fontepargpadro1"/>
          <w:rFonts w:ascii="Arial" w:eastAsia="Microsoft YaHei" w:hAnsi="Arial" w:cs="Arial"/>
          <w:bCs/>
          <w:color w:val="000000" w:themeColor="text1"/>
          <w:sz w:val="22"/>
          <w:szCs w:val="22"/>
        </w:rPr>
        <w:t>3</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39E70819" w:rsidR="00CB55D7" w:rsidRPr="00D37965" w:rsidRDefault="00235623"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Dayse Czerniaski</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543BB5F2"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Ana </w:t>
      </w:r>
      <w:r w:rsidR="007F47EA">
        <w:rPr>
          <w:rFonts w:ascii="Arial" w:eastAsia="Times New Roman" w:hAnsi="Arial" w:cs="Arial"/>
          <w:b/>
          <w:sz w:val="20"/>
        </w:rPr>
        <w:t xml:space="preserve">Paula </w:t>
      </w:r>
      <w:bookmarkStart w:id="7" w:name="_GoBack"/>
      <w:bookmarkEnd w:id="7"/>
      <w:r>
        <w:rPr>
          <w:rFonts w:ascii="Arial" w:eastAsia="Times New Roman" w:hAnsi="Arial" w:cs="Arial"/>
          <w:b/>
          <w:sz w:val="20"/>
        </w:rPr>
        <w:t>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676A054A" w:rsidR="00FE0BE8" w:rsidRPr="00FE0BE8" w:rsidRDefault="00837723"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Geraldo Gentil </w:t>
      </w:r>
      <w:proofErr w:type="spellStart"/>
      <w:r>
        <w:rPr>
          <w:rFonts w:ascii="Arial" w:eastAsia="Times New Roman" w:hAnsi="Arial" w:cs="Arial"/>
          <w:b/>
          <w:sz w:val="20"/>
        </w:rPr>
        <w:t>Biesek</w:t>
      </w:r>
      <w:proofErr w:type="spellEnd"/>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BF7113" w:rsidRDefault="00BF7113" w:rsidP="004A27F4">
      <w:pPr>
        <w:spacing w:after="0" w:line="240" w:lineRule="auto"/>
      </w:pPr>
      <w:r>
        <w:separator/>
      </w:r>
    </w:p>
  </w:endnote>
  <w:endnote w:type="continuationSeparator" w:id="0">
    <w:p w14:paraId="726D5478" w14:textId="77777777" w:rsidR="00BF7113" w:rsidRDefault="00BF7113"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BF7113" w:rsidRPr="00F77829" w:rsidRDefault="00BF7113">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BF7113" w:rsidRDefault="00BF7113"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BF7113" w:rsidRPr="00E82A40" w:rsidRDefault="00BF7113"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BF7113" w:rsidRPr="00E82A40" w:rsidRDefault="00BF7113"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BF7113" w:rsidRDefault="00BF7113">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BF7113" w:rsidRPr="00F77829" w:rsidRDefault="00BF7113">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BF7113" w:rsidRDefault="00BF7113">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BF7113" w:rsidRPr="008C6F0D" w:rsidRDefault="00BF7113"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BF7113" w:rsidRPr="008C6F0D" w:rsidRDefault="00BF7113"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BF7113" w:rsidRDefault="00BF7113">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BF7113" w:rsidRDefault="00BF7113"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BF7113" w:rsidRDefault="00BF7113" w:rsidP="004A27F4">
      <w:pPr>
        <w:spacing w:after="0" w:line="240" w:lineRule="auto"/>
      </w:pPr>
      <w:r>
        <w:separator/>
      </w:r>
    </w:p>
  </w:footnote>
  <w:footnote w:type="continuationSeparator" w:id="0">
    <w:p w14:paraId="0D246D65" w14:textId="77777777" w:rsidR="00BF7113" w:rsidRDefault="00BF7113"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BF7113" w:rsidRDefault="00BF7113">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BF7113" w:rsidRDefault="00BF7113">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2A245475"/>
    <w:multiLevelType w:val="hybridMultilevel"/>
    <w:tmpl w:val="DC32011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5"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2"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4"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6"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7"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3"/>
  </w:num>
  <w:num w:numId="3">
    <w:abstractNumId w:val="23"/>
  </w:num>
  <w:num w:numId="4">
    <w:abstractNumId w:val="27"/>
  </w:num>
  <w:num w:numId="5">
    <w:abstractNumId w:val="45"/>
  </w:num>
  <w:num w:numId="6">
    <w:abstractNumId w:val="3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4"/>
  </w:num>
  <w:num w:numId="14">
    <w:abstractNumId w:val="35"/>
  </w:num>
  <w:num w:numId="15">
    <w:abstractNumId w:val="24"/>
  </w:num>
  <w:num w:numId="16">
    <w:abstractNumId w:val="46"/>
  </w:num>
  <w:num w:numId="17">
    <w:abstractNumId w:val="34"/>
  </w:num>
  <w:num w:numId="18">
    <w:abstractNumId w:val="41"/>
  </w:num>
  <w:num w:numId="19">
    <w:abstractNumId w:val="32"/>
  </w:num>
  <w:num w:numId="20">
    <w:abstractNumId w:val="43"/>
  </w:num>
  <w:num w:numId="21">
    <w:abstractNumId w:val="42"/>
  </w:num>
  <w:num w:numId="22">
    <w:abstractNumId w:val="39"/>
  </w:num>
  <w:num w:numId="23">
    <w:abstractNumId w:val="38"/>
  </w:num>
  <w:num w:numId="24">
    <w:abstractNumId w:val="40"/>
  </w:num>
  <w:num w:numId="25">
    <w:abstractNumId w:val="37"/>
  </w:num>
  <w:num w:numId="26">
    <w:abstractNumId w:val="26"/>
  </w:num>
  <w:num w:numId="27">
    <w:abstractNumId w:val="31"/>
  </w:num>
  <w:num w:numId="2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5A21"/>
    <w:rsid w:val="00226316"/>
    <w:rsid w:val="002266B2"/>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5661"/>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608"/>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0CC"/>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8DD"/>
    <w:rsid w:val="004923AE"/>
    <w:rsid w:val="00492566"/>
    <w:rsid w:val="00494668"/>
    <w:rsid w:val="00494F5C"/>
    <w:rsid w:val="00496E71"/>
    <w:rsid w:val="004A19CE"/>
    <w:rsid w:val="004A27F4"/>
    <w:rsid w:val="004A5D9C"/>
    <w:rsid w:val="004A691A"/>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0A1"/>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1CD2"/>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417"/>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5E74"/>
    <w:rsid w:val="00680203"/>
    <w:rsid w:val="0068104E"/>
    <w:rsid w:val="00681238"/>
    <w:rsid w:val="0068255D"/>
    <w:rsid w:val="00684D74"/>
    <w:rsid w:val="006856D0"/>
    <w:rsid w:val="00685796"/>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006"/>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5273"/>
    <w:rsid w:val="006D18A3"/>
    <w:rsid w:val="006D1C46"/>
    <w:rsid w:val="006D3378"/>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EA"/>
    <w:rsid w:val="006F0FE3"/>
    <w:rsid w:val="006F5D33"/>
    <w:rsid w:val="006F65E5"/>
    <w:rsid w:val="006F692D"/>
    <w:rsid w:val="00703F7E"/>
    <w:rsid w:val="00704865"/>
    <w:rsid w:val="00704B1B"/>
    <w:rsid w:val="00707673"/>
    <w:rsid w:val="00707C78"/>
    <w:rsid w:val="00707FF6"/>
    <w:rsid w:val="0071217D"/>
    <w:rsid w:val="00713FA2"/>
    <w:rsid w:val="00714FFE"/>
    <w:rsid w:val="007151A7"/>
    <w:rsid w:val="007151DF"/>
    <w:rsid w:val="007155CE"/>
    <w:rsid w:val="00715C1F"/>
    <w:rsid w:val="0072008B"/>
    <w:rsid w:val="00723CAC"/>
    <w:rsid w:val="00726E5C"/>
    <w:rsid w:val="007300F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69E6"/>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47EA"/>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37723"/>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196"/>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3E6A"/>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3E65"/>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D789F"/>
    <w:rsid w:val="00AE0E71"/>
    <w:rsid w:val="00AE1A8E"/>
    <w:rsid w:val="00AE1B60"/>
    <w:rsid w:val="00AE45B5"/>
    <w:rsid w:val="00AE5DCB"/>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9B2"/>
    <w:rsid w:val="00B87BC1"/>
    <w:rsid w:val="00B9297F"/>
    <w:rsid w:val="00B95485"/>
    <w:rsid w:val="00B95CBB"/>
    <w:rsid w:val="00B97495"/>
    <w:rsid w:val="00B978FE"/>
    <w:rsid w:val="00BA2292"/>
    <w:rsid w:val="00BA4417"/>
    <w:rsid w:val="00BA4C3B"/>
    <w:rsid w:val="00BA6DC0"/>
    <w:rsid w:val="00BB0BDB"/>
    <w:rsid w:val="00BB3CEF"/>
    <w:rsid w:val="00BB53D8"/>
    <w:rsid w:val="00BB7857"/>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3560"/>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BF711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448D"/>
    <w:rsid w:val="00C54EDB"/>
    <w:rsid w:val="00C567BB"/>
    <w:rsid w:val="00C568D0"/>
    <w:rsid w:val="00C56D94"/>
    <w:rsid w:val="00C611FE"/>
    <w:rsid w:val="00C61420"/>
    <w:rsid w:val="00C646DD"/>
    <w:rsid w:val="00C64800"/>
    <w:rsid w:val="00C658CC"/>
    <w:rsid w:val="00C7073F"/>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0D40"/>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05DBA"/>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6145"/>
    <w:rsid w:val="00DC71DD"/>
    <w:rsid w:val="00DC79C6"/>
    <w:rsid w:val="00DD0447"/>
    <w:rsid w:val="00DD0B04"/>
    <w:rsid w:val="00DD199C"/>
    <w:rsid w:val="00DD2C7E"/>
    <w:rsid w:val="00DD7352"/>
    <w:rsid w:val="00DD7EBE"/>
    <w:rsid w:val="00DE085B"/>
    <w:rsid w:val="00DE0FDD"/>
    <w:rsid w:val="00DE1743"/>
    <w:rsid w:val="00DE3766"/>
    <w:rsid w:val="00DE3997"/>
    <w:rsid w:val="00DE4C24"/>
    <w:rsid w:val="00DE52AA"/>
    <w:rsid w:val="00DE58D9"/>
    <w:rsid w:val="00DE6103"/>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3941"/>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50602"/>
    <w:rsid w:val="00E50D34"/>
    <w:rsid w:val="00E51743"/>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65"/>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0969"/>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B6F3A"/>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o:shapelayout v:ext="edit">
      <o:idmap v:ext="edit" data="1"/>
    </o:shapelayout>
  </w:shapeDefaults>
  <w:decimalSymbol w:val=","/>
  <w:listSeparator w:val=";"/>
  <w14:docId w14:val="15B41CAC"/>
  <w15:docId w15:val="{CCF65682-52CA-461A-BA9D-19D4BA5F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8D"/>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 w:id="1806584492">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CC55-A507-4DBC-A43F-6524205B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23</Pages>
  <Words>7162</Words>
  <Characters>40998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Funeas</dc:creator>
  <cp:keywords/>
  <dc:description/>
  <cp:lastModifiedBy>Deysi czerniaski</cp:lastModifiedBy>
  <cp:revision>5</cp:revision>
  <cp:lastPrinted>2022-08-09T13:18:00Z</cp:lastPrinted>
  <dcterms:created xsi:type="dcterms:W3CDTF">2022-04-27T19:46:00Z</dcterms:created>
  <dcterms:modified xsi:type="dcterms:W3CDTF">2023-02-03T17:48:00Z</dcterms:modified>
</cp:coreProperties>
</file>