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B8B6" w14:textId="5B709A5C"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09DE9830" w14:textId="77777777" w:rsidR="003964CD" w:rsidRDefault="003964CD" w:rsidP="00AD36E8">
      <w:pPr>
        <w:pStyle w:val="Standard"/>
        <w:spacing w:line="360" w:lineRule="auto"/>
        <w:ind w:right="260"/>
        <w:jc w:val="center"/>
        <w:rPr>
          <w:rFonts w:ascii="Arial" w:hAnsi="Arial" w:cs="Arial"/>
          <w:b/>
          <w:bCs/>
          <w:color w:val="000000" w:themeColor="text1"/>
          <w:sz w:val="22"/>
          <w:szCs w:val="22"/>
        </w:rPr>
      </w:pPr>
    </w:p>
    <w:p w14:paraId="78A67478" w14:textId="3B8117F8" w:rsidR="00AA4A85"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62815737" w14:textId="77777777" w:rsidR="003964CD" w:rsidRPr="003964CD" w:rsidRDefault="003964CD" w:rsidP="003964CD">
      <w:pPr>
        <w:pStyle w:val="Corpodetexto"/>
      </w:pPr>
    </w:p>
    <w:p w14:paraId="24CF1755" w14:textId="182A2365" w:rsidR="00AA4A85" w:rsidRPr="003964CD"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84772B">
        <w:rPr>
          <w:color w:val="000000" w:themeColor="text1"/>
          <w:sz w:val="22"/>
          <w:szCs w:val="22"/>
        </w:rPr>
        <w:t xml:space="preserve"> </w:t>
      </w:r>
      <w:r w:rsidR="00C72918" w:rsidRPr="0084772B">
        <w:rPr>
          <w:color w:val="000000" w:themeColor="text1"/>
          <w:sz w:val="22"/>
          <w:szCs w:val="22"/>
        </w:rPr>
        <w:t xml:space="preserve">Trata-se da </w:t>
      </w:r>
      <w:r w:rsidR="00C72918" w:rsidRPr="0084772B">
        <w:rPr>
          <w:b/>
          <w:bCs/>
          <w:color w:val="000000" w:themeColor="text1"/>
          <w:sz w:val="22"/>
          <w:szCs w:val="22"/>
        </w:rPr>
        <w:t>DISPENSA DE LICITAÇÃO</w:t>
      </w:r>
      <w:r w:rsidR="00C72918" w:rsidRPr="0084772B">
        <w:rPr>
          <w:color w:val="000000" w:themeColor="text1"/>
          <w:sz w:val="22"/>
          <w:szCs w:val="22"/>
        </w:rPr>
        <w:t xml:space="preserve"> </w:t>
      </w:r>
      <w:r w:rsidR="00C72918" w:rsidRPr="0084772B">
        <w:rPr>
          <w:b/>
          <w:color w:val="000000" w:themeColor="text1"/>
          <w:sz w:val="22"/>
          <w:szCs w:val="22"/>
        </w:rPr>
        <w:t>GLOBAL</w:t>
      </w:r>
      <w:r w:rsidR="00C72918" w:rsidRPr="0084772B">
        <w:rPr>
          <w:color w:val="000000" w:themeColor="text1"/>
          <w:sz w:val="22"/>
          <w:szCs w:val="22"/>
        </w:rPr>
        <w:t xml:space="preserve"> para aquisição d</w:t>
      </w:r>
      <w:r w:rsidR="006C5273">
        <w:rPr>
          <w:color w:val="000000" w:themeColor="text1"/>
          <w:sz w:val="22"/>
          <w:szCs w:val="22"/>
        </w:rPr>
        <w:t>e</w:t>
      </w:r>
      <w:r w:rsidR="00C72918" w:rsidRPr="0084772B">
        <w:rPr>
          <w:color w:val="000000" w:themeColor="text1"/>
          <w:sz w:val="22"/>
          <w:szCs w:val="22"/>
        </w:rPr>
        <w:t xml:space="preserve"> </w:t>
      </w:r>
      <w:r w:rsidR="006C5273" w:rsidRPr="00B159D6">
        <w:rPr>
          <w:b/>
          <w:bCs/>
          <w:sz w:val="22"/>
          <w:szCs w:val="22"/>
        </w:rPr>
        <w:t>MEDICAMENTOS – PSICOTRÓPICOS 1</w:t>
      </w:r>
      <w:r w:rsidR="00C72918" w:rsidRPr="0084772B">
        <w:rPr>
          <w:color w:val="000000" w:themeColor="text1"/>
          <w:sz w:val="22"/>
          <w:szCs w:val="22"/>
        </w:rPr>
        <w:t xml:space="preserve">, </w:t>
      </w:r>
      <w:bookmarkStart w:id="0" w:name="_Hlk110332839"/>
      <w:r w:rsidR="00C72918" w:rsidRPr="0084772B">
        <w:rPr>
          <w:bCs/>
          <w:color w:val="000000" w:themeColor="text1"/>
          <w:sz w:val="22"/>
          <w:szCs w:val="22"/>
        </w:rPr>
        <w:t xml:space="preserve">fundamentada no </w:t>
      </w:r>
      <w:r w:rsidR="00C72918" w:rsidRPr="0084772B">
        <w:rPr>
          <w:b/>
          <w:bCs/>
          <w:color w:val="000000" w:themeColor="text1"/>
          <w:sz w:val="22"/>
          <w:szCs w:val="22"/>
        </w:rPr>
        <w:t>inciso V</w:t>
      </w:r>
      <w:r w:rsidR="00C72918" w:rsidRPr="0084772B">
        <w:rPr>
          <w:bCs/>
          <w:color w:val="000000" w:themeColor="text1"/>
          <w:sz w:val="22"/>
          <w:szCs w:val="22"/>
        </w:rPr>
        <w:t xml:space="preserve"> do art. 24 da Lei Federal nº 8666/93</w:t>
      </w:r>
      <w:bookmarkEnd w:id="0"/>
      <w:r w:rsidR="00C72918" w:rsidRPr="0084772B">
        <w:rPr>
          <w:bCs/>
          <w:color w:val="000000" w:themeColor="text1"/>
          <w:sz w:val="22"/>
          <w:szCs w:val="22"/>
        </w:rPr>
        <w:t xml:space="preserve">, </w:t>
      </w:r>
      <w:r w:rsidR="00C72918" w:rsidRPr="0084772B">
        <w:rPr>
          <w:color w:val="000000" w:themeColor="text1"/>
          <w:sz w:val="22"/>
          <w:szCs w:val="22"/>
        </w:rPr>
        <w:t>com o intuito de suprir pelo período de 12 (doze) meses, as Unidades FUNEA</w:t>
      </w:r>
      <w:r w:rsidR="00C72918" w:rsidRPr="008C06EC">
        <w:rPr>
          <w:color w:val="000000" w:themeColor="text1"/>
          <w:sz w:val="22"/>
          <w:szCs w:val="22"/>
        </w:rPr>
        <w:t xml:space="preserve">S: </w:t>
      </w:r>
      <w:r w:rsidR="00FD71CA" w:rsidRPr="00002FF8">
        <w:rPr>
          <w:rFonts w:eastAsia="Times New Roman"/>
          <w:sz w:val="22"/>
          <w:szCs w:val="22"/>
          <w:lang w:eastAsia="pt-BR"/>
        </w:rPr>
        <w:t>Hospital Infantil Waldemar Monastier (HIWM), Hospital Regional Norte Pioneiro (HRNP), Hospital Regional Walter Alberto Pecoits (HRSWAP),</w:t>
      </w:r>
      <w:bookmarkStart w:id="1" w:name="_Hlk108625748"/>
      <w:r w:rsidR="008C06EC">
        <w:rPr>
          <w:rFonts w:eastAsia="Times New Roman"/>
          <w:sz w:val="22"/>
          <w:szCs w:val="22"/>
          <w:lang w:eastAsia="pt-BR"/>
        </w:rPr>
        <w:t xml:space="preserve"> </w:t>
      </w:r>
      <w:r w:rsidR="00C946AA" w:rsidRPr="00002FF8">
        <w:rPr>
          <w:rFonts w:eastAsia="Times New Roman"/>
          <w:sz w:val="22"/>
          <w:lang w:eastAsia="pt-BR"/>
        </w:rPr>
        <w:t>Hospital Regional Centro Oeste - Guarapuava (HRCO)</w:t>
      </w:r>
      <w:r w:rsidR="00C946AA" w:rsidRPr="00002FF8">
        <w:rPr>
          <w:rFonts w:eastAsia="Times New Roman"/>
          <w:lang w:eastAsia="pt-BR"/>
        </w:rPr>
        <w:t xml:space="preserve">, </w:t>
      </w:r>
      <w:r w:rsidR="00D1453B" w:rsidRPr="00002FF8">
        <w:rPr>
          <w:rFonts w:eastAsia="Times New Roman"/>
          <w:sz w:val="22"/>
          <w:szCs w:val="22"/>
          <w:lang w:eastAsia="pt-BR"/>
        </w:rPr>
        <w:t xml:space="preserve">Hospital </w:t>
      </w:r>
      <w:r w:rsidR="00B22D49" w:rsidRPr="00002FF8">
        <w:rPr>
          <w:rFonts w:eastAsia="Times New Roman"/>
          <w:sz w:val="22"/>
          <w:szCs w:val="22"/>
          <w:lang w:eastAsia="pt-BR"/>
        </w:rPr>
        <w:t xml:space="preserve">Regional </w:t>
      </w:r>
      <w:r w:rsidR="00D1453B" w:rsidRPr="00002FF8">
        <w:rPr>
          <w:rFonts w:eastAsia="Times New Roman"/>
          <w:sz w:val="22"/>
          <w:szCs w:val="22"/>
          <w:lang w:eastAsia="pt-BR"/>
        </w:rPr>
        <w:t>Ivaiporã (HRI</w:t>
      </w:r>
      <w:r w:rsidR="001258F1" w:rsidRPr="00002FF8">
        <w:rPr>
          <w:rFonts w:eastAsia="Times New Roman"/>
          <w:sz w:val="22"/>
          <w:szCs w:val="22"/>
          <w:lang w:eastAsia="pt-BR"/>
        </w:rPr>
        <w:t>V</w:t>
      </w:r>
      <w:r w:rsidR="00D1453B" w:rsidRPr="00002FF8">
        <w:rPr>
          <w:rFonts w:eastAsia="Times New Roman"/>
          <w:sz w:val="22"/>
          <w:szCs w:val="22"/>
          <w:lang w:eastAsia="pt-BR"/>
        </w:rPr>
        <w:t>)</w:t>
      </w:r>
      <w:r w:rsidR="00F1188D" w:rsidRPr="00002FF8">
        <w:rPr>
          <w:rFonts w:eastAsia="Times New Roman"/>
          <w:sz w:val="22"/>
          <w:szCs w:val="22"/>
          <w:lang w:eastAsia="pt-BR"/>
        </w:rPr>
        <w:t>,</w:t>
      </w:r>
      <w:r w:rsidR="00D1453B" w:rsidRPr="00002FF8">
        <w:rPr>
          <w:rFonts w:eastAsia="Times New Roman"/>
          <w:sz w:val="22"/>
          <w:szCs w:val="22"/>
          <w:lang w:eastAsia="pt-BR"/>
        </w:rPr>
        <w:t xml:space="preserve"> Hospital </w:t>
      </w:r>
      <w:r w:rsidR="00707C78" w:rsidRPr="00002FF8">
        <w:rPr>
          <w:rFonts w:eastAsia="Times New Roman"/>
          <w:sz w:val="22"/>
          <w:szCs w:val="22"/>
          <w:lang w:eastAsia="pt-BR"/>
        </w:rPr>
        <w:t xml:space="preserve">Regional </w:t>
      </w:r>
      <w:r w:rsidR="00D1453B" w:rsidRPr="00002FF8">
        <w:rPr>
          <w:rFonts w:eastAsia="Times New Roman"/>
          <w:sz w:val="22"/>
          <w:szCs w:val="22"/>
          <w:lang w:eastAsia="pt-BR"/>
        </w:rPr>
        <w:t>Telêmaco Borba (HRT</w:t>
      </w:r>
      <w:r w:rsidR="00E33995" w:rsidRPr="00002FF8">
        <w:rPr>
          <w:rFonts w:eastAsia="Times New Roman"/>
          <w:sz w:val="22"/>
          <w:szCs w:val="22"/>
          <w:lang w:eastAsia="pt-BR"/>
        </w:rPr>
        <w:t>B</w:t>
      </w:r>
      <w:r w:rsidR="00D1453B" w:rsidRPr="00002FF8">
        <w:rPr>
          <w:rFonts w:eastAsia="Times New Roman"/>
          <w:sz w:val="22"/>
          <w:szCs w:val="22"/>
          <w:lang w:eastAsia="pt-BR"/>
        </w:rPr>
        <w:t>)</w:t>
      </w:r>
      <w:r w:rsidR="006C5273" w:rsidRPr="00002FF8">
        <w:rPr>
          <w:rFonts w:eastAsia="Times New Roman"/>
          <w:sz w:val="22"/>
          <w:szCs w:val="22"/>
          <w:lang w:eastAsia="pt-BR"/>
        </w:rPr>
        <w:t xml:space="preserve"> e Hospital Colônia Adauto Botelho (HCAB),</w:t>
      </w:r>
      <w:r w:rsidR="00D1453B" w:rsidRPr="00002FF8">
        <w:rPr>
          <w:rFonts w:eastAsia="Arial"/>
          <w:sz w:val="22"/>
          <w:szCs w:val="22"/>
        </w:rPr>
        <w:t xml:space="preserve"> </w:t>
      </w:r>
      <w:bookmarkEnd w:id="1"/>
      <w:r w:rsidR="00AD36E8" w:rsidRPr="00002FF8">
        <w:rPr>
          <w:color w:val="auto"/>
          <w:sz w:val="22"/>
          <w:szCs w:val="22"/>
        </w:rPr>
        <w:t>conforme planilha abaixo:</w:t>
      </w:r>
    </w:p>
    <w:p w14:paraId="517AEECA" w14:textId="77777777" w:rsidR="003964CD" w:rsidRPr="00002FF8" w:rsidRDefault="003964CD" w:rsidP="003964CD">
      <w:pPr>
        <w:pStyle w:val="Default"/>
        <w:tabs>
          <w:tab w:val="left" w:pos="284"/>
          <w:tab w:val="left" w:pos="709"/>
          <w:tab w:val="left" w:pos="851"/>
        </w:tabs>
        <w:spacing w:line="276" w:lineRule="auto"/>
        <w:jc w:val="both"/>
        <w:rPr>
          <w:color w:val="000000" w:themeColor="text1"/>
          <w:sz w:val="22"/>
          <w:szCs w:val="22"/>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A24DEA" w14:paraId="447D34AF" w14:textId="77777777" w:rsidTr="00A24DEA">
        <w:trPr>
          <w:cantSplit/>
          <w:trHeight w:val="227"/>
        </w:trPr>
        <w:tc>
          <w:tcPr>
            <w:tcW w:w="9639" w:type="dxa"/>
            <w:gridSpan w:val="10"/>
            <w:shd w:val="clear" w:color="auto" w:fill="B8CCE4" w:themeFill="accent1" w:themeFillTint="66"/>
            <w:vAlign w:val="center"/>
          </w:tcPr>
          <w:p w14:paraId="4E34390B" w14:textId="69A4213F" w:rsidR="00A24DEA" w:rsidRPr="008A5B5A" w:rsidRDefault="00A24DEA" w:rsidP="00A24DEA">
            <w:pPr>
              <w:pStyle w:val="Standard"/>
              <w:widowControl/>
              <w:tabs>
                <w:tab w:val="left" w:pos="-3186"/>
              </w:tabs>
              <w:jc w:val="center"/>
              <w:rPr>
                <w:rFonts w:ascii="Arial" w:eastAsia="Times New Roman" w:hAnsi="Arial" w:cs="Arial"/>
                <w:b/>
                <w:bCs/>
                <w:color w:val="000000"/>
                <w:sz w:val="16"/>
                <w:szCs w:val="16"/>
                <w:lang w:eastAsia="pt-BR"/>
              </w:rPr>
            </w:pPr>
          </w:p>
        </w:tc>
      </w:tr>
      <w:tr w:rsidR="00A24DEA" w14:paraId="2442D5A6" w14:textId="77777777" w:rsidTr="00A24DEA">
        <w:trPr>
          <w:cantSplit/>
          <w:trHeight w:val="1134"/>
        </w:trPr>
        <w:tc>
          <w:tcPr>
            <w:tcW w:w="506" w:type="dxa"/>
            <w:textDirection w:val="btLr"/>
            <w:vAlign w:val="center"/>
          </w:tcPr>
          <w:p w14:paraId="125B07AD" w14:textId="766069D6"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555056">
              <w:rPr>
                <w:rFonts w:ascii="Arial" w:eastAsia="Times New Roman" w:hAnsi="Arial" w:cs="Arial"/>
                <w:b/>
                <w:bCs/>
                <w:color w:val="000000"/>
                <w:sz w:val="16"/>
                <w:szCs w:val="16"/>
                <w:lang w:eastAsia="pt-BR"/>
              </w:rPr>
              <w:t>1</w:t>
            </w:r>
          </w:p>
        </w:tc>
        <w:tc>
          <w:tcPr>
            <w:tcW w:w="506" w:type="dxa"/>
            <w:textDirection w:val="btLr"/>
            <w:vAlign w:val="center"/>
          </w:tcPr>
          <w:p w14:paraId="4942331E" w14:textId="77777777"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0BAFD361" w14:textId="77777777"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734CDCAB"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66BA814F"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1BFF90D6"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3664331D"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3D09C36A"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3A9A9838"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57CE6699"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FB6B54" w14:paraId="0F210C32" w14:textId="77777777" w:rsidTr="00FB6B54">
        <w:trPr>
          <w:cantSplit/>
          <w:trHeight w:val="283"/>
        </w:trPr>
        <w:tc>
          <w:tcPr>
            <w:tcW w:w="506" w:type="dxa"/>
            <w:vMerge w:val="restart"/>
            <w:textDirection w:val="btLr"/>
          </w:tcPr>
          <w:p w14:paraId="330B0185"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48461858"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6502-1078</w:t>
            </w:r>
          </w:p>
        </w:tc>
        <w:tc>
          <w:tcPr>
            <w:tcW w:w="506" w:type="dxa"/>
            <w:vMerge w:val="restart"/>
            <w:textDirection w:val="btLr"/>
          </w:tcPr>
          <w:p w14:paraId="4420B751"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272134</w:t>
            </w:r>
          </w:p>
        </w:tc>
        <w:tc>
          <w:tcPr>
            <w:tcW w:w="1939" w:type="dxa"/>
            <w:vMerge w:val="restart"/>
            <w:vAlign w:val="center"/>
          </w:tcPr>
          <w:p w14:paraId="362585FA" w14:textId="77777777" w:rsidR="00FB6B54" w:rsidRPr="00CA229F" w:rsidRDefault="00FB6B54" w:rsidP="00FB6B54">
            <w:pPr>
              <w:pStyle w:val="Standard"/>
              <w:widowControl/>
              <w:tabs>
                <w:tab w:val="left" w:pos="-3186"/>
              </w:tabs>
              <w:jc w:val="center"/>
              <w:rPr>
                <w:rFonts w:ascii="Arial" w:hAnsi="Arial" w:cs="Arial"/>
                <w:bCs/>
                <w:color w:val="000000" w:themeColor="text1"/>
                <w:sz w:val="16"/>
                <w:szCs w:val="16"/>
              </w:rPr>
            </w:pPr>
            <w:r w:rsidRPr="00CA229F">
              <w:rPr>
                <w:rFonts w:ascii="Arial" w:hAnsi="Arial" w:cs="Arial"/>
                <w:sz w:val="16"/>
                <w:szCs w:val="16"/>
              </w:rPr>
              <w:t>Ciclopentolato, Cloridrato, 10 mg/ml, Solução oftálmica, Frasco gotejador, 5 ml, VIA DE ADMINISTRAÇÃO: Oftálmica, PORTARIA 344/98: C1, UNID.</w:t>
            </w:r>
          </w:p>
        </w:tc>
        <w:tc>
          <w:tcPr>
            <w:tcW w:w="1304" w:type="dxa"/>
            <w:vAlign w:val="center"/>
          </w:tcPr>
          <w:p w14:paraId="5891A2B5" w14:textId="77777777" w:rsidR="00FB6B54" w:rsidRPr="00905AAD"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14:paraId="661BE041" w14:textId="77777777" w:rsidR="00FB6B54"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56770A09" w14:textId="77777777" w:rsidR="00FB6B54" w:rsidRPr="00E86F16"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restart"/>
            <w:vAlign w:val="center"/>
          </w:tcPr>
          <w:p w14:paraId="2FC8CEBE" w14:textId="77777777" w:rsidR="00FB6B54" w:rsidRPr="00E86F16" w:rsidRDefault="00FB6B54" w:rsidP="00FB6B54">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60 UNID.</w:t>
            </w:r>
          </w:p>
        </w:tc>
        <w:tc>
          <w:tcPr>
            <w:tcW w:w="1034" w:type="dxa"/>
            <w:vMerge w:val="restart"/>
            <w:vAlign w:val="center"/>
          </w:tcPr>
          <w:p w14:paraId="45B00FD6" w14:textId="43E7AD01" w:rsidR="00FB6B54" w:rsidRPr="00865A09" w:rsidRDefault="00FB6B54" w:rsidP="00FB6B54">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0E5C6328" w14:textId="77777777" w:rsidR="00FB6B54" w:rsidRPr="00865A09" w:rsidRDefault="00FB6B54" w:rsidP="00FB6B54">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0954A3EA" w14:textId="5845A778"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3F37956B" w14:textId="77777777" w:rsidTr="00FB6B54">
        <w:trPr>
          <w:cantSplit/>
          <w:trHeight w:val="283"/>
        </w:trPr>
        <w:tc>
          <w:tcPr>
            <w:tcW w:w="506" w:type="dxa"/>
            <w:vMerge/>
            <w:textDirection w:val="btLr"/>
          </w:tcPr>
          <w:p w14:paraId="01DD98E2"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D3ECADA"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CF8E23D"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30C3538"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1662973D" w14:textId="77777777" w:rsidR="00FB6B54" w:rsidRPr="00905AAD"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14:paraId="5F50B63B" w14:textId="77777777" w:rsidR="00FB6B54"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366BE2AE" w14:textId="77777777" w:rsidR="00FB6B54" w:rsidRPr="00E86F16"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63E4009B"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CF81A84"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151E1C7D" w14:textId="5C93B7E0"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71FF4EDE" w14:textId="77777777" w:rsidTr="00FB6B54">
        <w:trPr>
          <w:cantSplit/>
          <w:trHeight w:val="283"/>
        </w:trPr>
        <w:tc>
          <w:tcPr>
            <w:tcW w:w="506" w:type="dxa"/>
            <w:vMerge/>
            <w:textDirection w:val="btLr"/>
          </w:tcPr>
          <w:p w14:paraId="526BF194"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21F8E1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F9ABB3B"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4E0DAD16"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DB5F8FC" w14:textId="63C776EC" w:rsidR="00FB6B54"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w:t>
            </w:r>
            <w:r w:rsidR="00780C24">
              <w:rPr>
                <w:rFonts w:ascii="Arial" w:hAnsi="Arial" w:cs="Arial"/>
                <w:bCs/>
                <w:color w:val="000000" w:themeColor="text1"/>
                <w:sz w:val="16"/>
                <w:szCs w:val="22"/>
              </w:rPr>
              <w:t>CO</w:t>
            </w:r>
          </w:p>
        </w:tc>
        <w:tc>
          <w:tcPr>
            <w:tcW w:w="732" w:type="dxa"/>
            <w:vAlign w:val="center"/>
          </w:tcPr>
          <w:p w14:paraId="491DCD23" w14:textId="77777777" w:rsidR="00FB6B54"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17539FA5" w14:textId="77777777" w:rsidR="00FB6B54" w:rsidRPr="00E86F16"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7E202DF1"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38F6ED0"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209AE992" w14:textId="272026B1"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13594354" w14:textId="77777777" w:rsidTr="00FB6B54">
        <w:trPr>
          <w:cantSplit/>
          <w:trHeight w:val="283"/>
        </w:trPr>
        <w:tc>
          <w:tcPr>
            <w:tcW w:w="506" w:type="dxa"/>
            <w:vMerge/>
            <w:textDirection w:val="btLr"/>
          </w:tcPr>
          <w:p w14:paraId="6A8189C4"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68F0C6F"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8DCA4D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03AC8D86"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DBDF0C0" w14:textId="045AC609" w:rsidR="00FB6B54"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w:t>
            </w:r>
            <w:r w:rsidR="00780C24">
              <w:rPr>
                <w:rFonts w:ascii="Arial" w:hAnsi="Arial" w:cs="Arial"/>
                <w:bCs/>
                <w:color w:val="000000" w:themeColor="text1"/>
                <w:sz w:val="16"/>
                <w:szCs w:val="22"/>
              </w:rPr>
              <w:t>V</w:t>
            </w:r>
          </w:p>
        </w:tc>
        <w:tc>
          <w:tcPr>
            <w:tcW w:w="732" w:type="dxa"/>
            <w:vAlign w:val="center"/>
          </w:tcPr>
          <w:p w14:paraId="4AC9A986" w14:textId="77777777" w:rsidR="00FB6B54"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3579673A" w14:textId="77777777" w:rsidR="00FB6B54" w:rsidRPr="00E86F16"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0D79E4FB"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8521A8C"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20D12A87" w14:textId="1A098502"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132C0E76" w14:textId="77777777" w:rsidTr="00FB6B54">
        <w:trPr>
          <w:cantSplit/>
          <w:trHeight w:val="283"/>
        </w:trPr>
        <w:tc>
          <w:tcPr>
            <w:tcW w:w="506" w:type="dxa"/>
            <w:vMerge/>
            <w:textDirection w:val="btLr"/>
          </w:tcPr>
          <w:p w14:paraId="6278AF87"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AF2A8DB"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A44B91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97D97E7"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23925A7" w14:textId="77777777" w:rsidR="00FB6B54"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14:paraId="65663C00" w14:textId="77777777" w:rsidR="00FB6B54"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1E18BF05" w14:textId="77777777" w:rsidR="00FB6B54" w:rsidRPr="00E86F16" w:rsidRDefault="00FB6B54"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3664E654"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57E4F13E"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0507B15E" w14:textId="1496FA1A"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A24DEA" w14:paraId="6618869F" w14:textId="77777777" w:rsidTr="00A24DEA">
        <w:tc>
          <w:tcPr>
            <w:tcW w:w="7429" w:type="dxa"/>
            <w:gridSpan w:val="8"/>
          </w:tcPr>
          <w:p w14:paraId="1C3377E5" w14:textId="77777777" w:rsidR="00A24DEA" w:rsidRPr="00303A73" w:rsidRDefault="00A24DEA" w:rsidP="00A24DEA">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7D8B5A6A" w14:textId="6CC7B13F" w:rsidR="00A24DEA" w:rsidRPr="008B25BB" w:rsidRDefault="00A24DEA" w:rsidP="00A24DEA">
            <w:pPr>
              <w:spacing w:after="0"/>
              <w:jc w:val="both"/>
              <w:rPr>
                <w:rFonts w:cs="Arial"/>
                <w:b/>
                <w:bCs/>
                <w:lang w:eastAsia="pt-BR"/>
              </w:rPr>
            </w:pPr>
            <w:r>
              <w:rPr>
                <w:rFonts w:cs="Arial"/>
                <w:b/>
                <w:bCs/>
              </w:rPr>
              <w:t xml:space="preserve">R$ </w:t>
            </w:r>
          </w:p>
        </w:tc>
      </w:tr>
    </w:tbl>
    <w:p w14:paraId="13C67073" w14:textId="4281E2BD" w:rsidR="00E45FCD" w:rsidRDefault="00E45FCD" w:rsidP="00E45FCD">
      <w:pPr>
        <w:pStyle w:val="Standard"/>
        <w:widowControl/>
        <w:tabs>
          <w:tab w:val="left" w:pos="-3186"/>
        </w:tabs>
        <w:jc w:val="both"/>
        <w:rPr>
          <w:rFonts w:ascii="Arial" w:eastAsia="Calibri" w:hAnsi="Arial" w:cs="Arial"/>
          <w:color w:val="000000" w:themeColor="text1"/>
          <w:kern w:val="1"/>
          <w:sz w:val="22"/>
          <w:szCs w:val="22"/>
          <w:lang w:eastAsia="ar-SA" w:bidi="ar-SA"/>
        </w:rPr>
      </w:pPr>
    </w:p>
    <w:p w14:paraId="4BD4A06B" w14:textId="77777777" w:rsidR="004A691A" w:rsidRDefault="004A691A"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E45FCD" w14:paraId="01CB25CD" w14:textId="77777777" w:rsidTr="007572A3">
        <w:trPr>
          <w:cantSplit/>
          <w:trHeight w:val="227"/>
        </w:trPr>
        <w:tc>
          <w:tcPr>
            <w:tcW w:w="9787" w:type="dxa"/>
            <w:shd w:val="clear" w:color="auto" w:fill="B8CCE4" w:themeFill="accent1" w:themeFillTint="66"/>
            <w:vAlign w:val="center"/>
          </w:tcPr>
          <w:p w14:paraId="3ED4B907" w14:textId="714B23A0" w:rsidR="00E45FCD" w:rsidRPr="008A5B5A" w:rsidRDefault="00E45FCD" w:rsidP="007572A3">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12"/>
        <w:tblW w:w="9787" w:type="dxa"/>
        <w:tblInd w:w="-5" w:type="dxa"/>
        <w:tblLayout w:type="fixed"/>
        <w:tblLook w:val="04A0" w:firstRow="1" w:lastRow="0" w:firstColumn="1" w:lastColumn="0" w:noHBand="0" w:noVBand="1"/>
      </w:tblPr>
      <w:tblGrid>
        <w:gridCol w:w="426"/>
        <w:gridCol w:w="567"/>
        <w:gridCol w:w="425"/>
        <w:gridCol w:w="2126"/>
        <w:gridCol w:w="1418"/>
        <w:gridCol w:w="709"/>
        <w:gridCol w:w="992"/>
        <w:gridCol w:w="1032"/>
        <w:gridCol w:w="16"/>
        <w:gridCol w:w="936"/>
        <w:gridCol w:w="1140"/>
      </w:tblGrid>
      <w:tr w:rsidR="00E45FCD" w14:paraId="256BB670" w14:textId="77777777" w:rsidTr="007572A3">
        <w:trPr>
          <w:cantSplit/>
          <w:trHeight w:val="1134"/>
        </w:trPr>
        <w:tc>
          <w:tcPr>
            <w:tcW w:w="426" w:type="dxa"/>
            <w:textDirection w:val="btLr"/>
            <w:vAlign w:val="center"/>
          </w:tcPr>
          <w:p w14:paraId="6975DE4B" w14:textId="13B21AF8"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555056">
              <w:rPr>
                <w:rFonts w:ascii="Arial" w:eastAsia="Times New Roman" w:hAnsi="Arial" w:cs="Arial"/>
                <w:b/>
                <w:bCs/>
                <w:color w:val="000000"/>
                <w:sz w:val="16"/>
                <w:szCs w:val="16"/>
                <w:lang w:eastAsia="pt-BR"/>
              </w:rPr>
              <w:t>0</w:t>
            </w:r>
            <w:r w:rsidR="00D21FF1">
              <w:rPr>
                <w:rFonts w:ascii="Arial" w:eastAsia="Times New Roman" w:hAnsi="Arial" w:cs="Arial"/>
                <w:b/>
                <w:bCs/>
                <w:color w:val="000000"/>
                <w:sz w:val="16"/>
                <w:szCs w:val="16"/>
                <w:lang w:eastAsia="pt-BR"/>
              </w:rPr>
              <w:t>2</w:t>
            </w:r>
          </w:p>
        </w:tc>
        <w:tc>
          <w:tcPr>
            <w:tcW w:w="567" w:type="dxa"/>
            <w:textDirection w:val="btLr"/>
            <w:vAlign w:val="center"/>
          </w:tcPr>
          <w:p w14:paraId="69DDE59F"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00BEF7B5"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2126" w:type="dxa"/>
            <w:vAlign w:val="center"/>
          </w:tcPr>
          <w:p w14:paraId="3931804B" w14:textId="77777777" w:rsidR="00E45FCD" w:rsidRPr="003A3CC5" w:rsidRDefault="00E45FCD" w:rsidP="007572A3">
            <w:pPr>
              <w:pStyle w:val="Standard"/>
              <w:widowControl/>
              <w:tabs>
                <w:tab w:val="left" w:pos="-3186"/>
              </w:tabs>
              <w:jc w:val="both"/>
              <w:rPr>
                <w:rFonts w:ascii="Arial" w:hAnsi="Arial" w:cs="Arial"/>
                <w:bCs/>
                <w:color w:val="000000" w:themeColor="text1"/>
                <w:sz w:val="22"/>
                <w:szCs w:val="22"/>
              </w:rPr>
            </w:pPr>
            <w:r w:rsidRPr="003A3CC5">
              <w:rPr>
                <w:rFonts w:ascii="Arial" w:eastAsia="Times New Roman" w:hAnsi="Arial" w:cs="Arial"/>
                <w:b/>
                <w:bCs/>
                <w:color w:val="000000"/>
                <w:sz w:val="16"/>
                <w:szCs w:val="16"/>
                <w:lang w:eastAsia="pt-BR"/>
              </w:rPr>
              <w:t>Descrição do medicamento</w:t>
            </w:r>
          </w:p>
        </w:tc>
        <w:tc>
          <w:tcPr>
            <w:tcW w:w="1418" w:type="dxa"/>
            <w:vAlign w:val="center"/>
          </w:tcPr>
          <w:p w14:paraId="3B139729"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799AE3FF" w14:textId="77777777" w:rsidR="00E45FCD" w:rsidRDefault="00E45FCD" w:rsidP="007572A3">
            <w:pPr>
              <w:pStyle w:val="Standard"/>
              <w:widowControl/>
              <w:tabs>
                <w:tab w:val="left" w:pos="-3186"/>
              </w:tabs>
              <w:ind w:hanging="45"/>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14:paraId="4629A140"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14:paraId="461BF894"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52" w:type="dxa"/>
            <w:gridSpan w:val="2"/>
            <w:vAlign w:val="center"/>
          </w:tcPr>
          <w:p w14:paraId="3A1C27EC"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40" w:type="dxa"/>
            <w:vAlign w:val="center"/>
          </w:tcPr>
          <w:p w14:paraId="653460A0"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E45FCD" w14:paraId="0BCBAB78" w14:textId="77777777" w:rsidTr="007572A3">
        <w:trPr>
          <w:cantSplit/>
          <w:trHeight w:val="510"/>
        </w:trPr>
        <w:tc>
          <w:tcPr>
            <w:tcW w:w="426" w:type="dxa"/>
            <w:textDirection w:val="btLr"/>
          </w:tcPr>
          <w:p w14:paraId="3042B823"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textDirection w:val="btLr"/>
          </w:tcPr>
          <w:p w14:paraId="0A9EDB34"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6502-23656</w:t>
            </w:r>
          </w:p>
        </w:tc>
        <w:tc>
          <w:tcPr>
            <w:tcW w:w="425" w:type="dxa"/>
            <w:textDirection w:val="btLr"/>
          </w:tcPr>
          <w:p w14:paraId="0B4C0E1F"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285965</w:t>
            </w:r>
          </w:p>
        </w:tc>
        <w:tc>
          <w:tcPr>
            <w:tcW w:w="2126" w:type="dxa"/>
            <w:vAlign w:val="bottom"/>
          </w:tcPr>
          <w:p w14:paraId="7FC65F86" w14:textId="77777777" w:rsidR="00E45FCD" w:rsidRPr="003A3CC5" w:rsidRDefault="00E45FCD" w:rsidP="007572A3">
            <w:pPr>
              <w:pStyle w:val="Standard"/>
              <w:widowControl/>
              <w:tabs>
                <w:tab w:val="left" w:pos="-3186"/>
              </w:tabs>
              <w:rPr>
                <w:rFonts w:ascii="Arial" w:hAnsi="Arial" w:cs="Arial"/>
                <w:bCs/>
                <w:color w:val="000000" w:themeColor="text1"/>
                <w:sz w:val="16"/>
                <w:szCs w:val="16"/>
              </w:rPr>
            </w:pPr>
            <w:proofErr w:type="spellStart"/>
            <w:r w:rsidRPr="003A3CC5">
              <w:rPr>
                <w:rFonts w:ascii="Arial" w:hAnsi="Arial" w:cs="Arial"/>
                <w:sz w:val="16"/>
                <w:szCs w:val="16"/>
              </w:rPr>
              <w:t>Levetiracetam</w:t>
            </w:r>
            <w:proofErr w:type="spellEnd"/>
            <w:r w:rsidRPr="003A3CC5">
              <w:rPr>
                <w:rFonts w:ascii="Arial" w:hAnsi="Arial" w:cs="Arial"/>
                <w:sz w:val="16"/>
                <w:szCs w:val="16"/>
              </w:rPr>
              <w:t>, 250 mg, Comprimido, Blister, VIA DE ADMINISTRAÇÃO: Oral, PORTARIA 344/98: C1, UNID. DE MEDIDA: Unitário</w:t>
            </w:r>
          </w:p>
        </w:tc>
        <w:tc>
          <w:tcPr>
            <w:tcW w:w="1418" w:type="dxa"/>
            <w:vAlign w:val="center"/>
          </w:tcPr>
          <w:p w14:paraId="784B9495" w14:textId="77777777" w:rsidR="00E45FCD"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0690108B" w14:textId="77777777" w:rsidR="00E45FCD" w:rsidRPr="00905AAD"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14:paraId="5FD75413" w14:textId="77777777" w:rsidR="00E45FCD" w:rsidRPr="00E86F16"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Align w:val="center"/>
          </w:tcPr>
          <w:p w14:paraId="62C143DA" w14:textId="77777777" w:rsidR="00E45FCD" w:rsidRPr="00E86F16" w:rsidRDefault="00E45FCD" w:rsidP="007572A3">
            <w:pPr>
              <w:pStyle w:val="Standard"/>
              <w:widowControl/>
              <w:tabs>
                <w:tab w:val="left" w:pos="-3186"/>
              </w:tabs>
              <w:jc w:val="center"/>
              <w:rPr>
                <w:rFonts w:ascii="Arial" w:hAnsi="Arial" w:cs="Arial"/>
                <w:b/>
                <w:bCs/>
                <w:color w:val="000000" w:themeColor="text1"/>
                <w:sz w:val="16"/>
                <w:szCs w:val="22"/>
              </w:rPr>
            </w:pPr>
            <w:r w:rsidRPr="003A3CC5">
              <w:rPr>
                <w:rFonts w:ascii="Arial" w:hAnsi="Arial" w:cs="Arial"/>
                <w:b/>
                <w:bCs/>
                <w:color w:val="000000" w:themeColor="text1"/>
                <w:sz w:val="16"/>
                <w:szCs w:val="22"/>
              </w:rPr>
              <w:t>240 UNID.</w:t>
            </w:r>
          </w:p>
        </w:tc>
        <w:tc>
          <w:tcPr>
            <w:tcW w:w="952" w:type="dxa"/>
            <w:gridSpan w:val="2"/>
            <w:vAlign w:val="center"/>
          </w:tcPr>
          <w:p w14:paraId="2B54F211" w14:textId="346EA769" w:rsidR="00E45FCD" w:rsidRPr="00BF46A9" w:rsidRDefault="00E45FCD" w:rsidP="007572A3">
            <w:pPr>
              <w:spacing w:after="0" w:line="240" w:lineRule="auto"/>
              <w:rPr>
                <w:rFonts w:ascii="Arial" w:hAnsi="Arial" w:cs="Arial"/>
                <w:b/>
                <w:bCs/>
                <w:sz w:val="16"/>
                <w:szCs w:val="16"/>
                <w:lang w:eastAsia="pt-BR"/>
              </w:rPr>
            </w:pPr>
            <w:r w:rsidRPr="00BF46A9">
              <w:rPr>
                <w:rFonts w:ascii="Arial" w:hAnsi="Arial" w:cs="Arial"/>
                <w:b/>
                <w:bCs/>
                <w:sz w:val="16"/>
                <w:szCs w:val="16"/>
              </w:rPr>
              <w:t xml:space="preserve">R$ </w:t>
            </w:r>
          </w:p>
          <w:p w14:paraId="74D730EB" w14:textId="77777777" w:rsidR="00E45FCD" w:rsidRPr="00BF46A9" w:rsidRDefault="00E45FCD" w:rsidP="007572A3">
            <w:pPr>
              <w:pStyle w:val="Standard"/>
              <w:widowControl/>
              <w:tabs>
                <w:tab w:val="left" w:pos="-3186"/>
              </w:tabs>
              <w:rPr>
                <w:rFonts w:ascii="Arial" w:hAnsi="Arial" w:cs="Arial"/>
                <w:bCs/>
                <w:color w:val="000000" w:themeColor="text1"/>
                <w:sz w:val="16"/>
                <w:szCs w:val="16"/>
              </w:rPr>
            </w:pPr>
          </w:p>
        </w:tc>
        <w:tc>
          <w:tcPr>
            <w:tcW w:w="1140" w:type="dxa"/>
            <w:vAlign w:val="center"/>
          </w:tcPr>
          <w:p w14:paraId="7E7C90CB" w14:textId="3C3410A0" w:rsidR="00E45FCD" w:rsidRPr="00BF46A9" w:rsidRDefault="00E45FCD" w:rsidP="007572A3">
            <w:pPr>
              <w:spacing w:after="0" w:line="240" w:lineRule="auto"/>
              <w:rPr>
                <w:rFonts w:ascii="Arial" w:hAnsi="Arial" w:cs="Arial"/>
                <w:sz w:val="16"/>
                <w:szCs w:val="16"/>
              </w:rPr>
            </w:pPr>
            <w:r w:rsidRPr="00BC0A71">
              <w:rPr>
                <w:rFonts w:ascii="Arial" w:hAnsi="Arial" w:cs="Arial"/>
                <w:b/>
                <w:bCs/>
                <w:color w:val="000000" w:themeColor="text1"/>
                <w:sz w:val="16"/>
                <w:szCs w:val="16"/>
              </w:rPr>
              <w:t>R$</w:t>
            </w:r>
          </w:p>
        </w:tc>
      </w:tr>
      <w:tr w:rsidR="00E45FCD" w14:paraId="21F83CA1" w14:textId="77777777" w:rsidTr="007572A3">
        <w:tc>
          <w:tcPr>
            <w:tcW w:w="7711" w:type="dxa"/>
            <w:gridSpan w:val="9"/>
          </w:tcPr>
          <w:p w14:paraId="1F7DC77A" w14:textId="77777777" w:rsidR="00E45FCD" w:rsidRPr="00303A73" w:rsidRDefault="00E45FCD"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76" w:type="dxa"/>
            <w:gridSpan w:val="2"/>
          </w:tcPr>
          <w:p w14:paraId="375A6598" w14:textId="14194675" w:rsidR="00E45FCD" w:rsidRPr="008750EB" w:rsidRDefault="00E45FCD" w:rsidP="007572A3">
            <w:pPr>
              <w:spacing w:after="0" w:line="240" w:lineRule="auto"/>
              <w:jc w:val="both"/>
              <w:rPr>
                <w:rFonts w:ascii="Times New Roman" w:hAnsi="Times New Roman" w:cs="Times New Roman"/>
                <w:b/>
                <w:bCs/>
                <w:lang w:eastAsia="pt-BR"/>
              </w:rPr>
            </w:pPr>
            <w:r w:rsidRPr="008750EB">
              <w:rPr>
                <w:rFonts w:ascii="Times New Roman" w:hAnsi="Times New Roman" w:cs="Times New Roman"/>
                <w:b/>
                <w:bCs/>
                <w:sz w:val="20"/>
              </w:rPr>
              <w:t xml:space="preserve">R$ </w:t>
            </w:r>
          </w:p>
        </w:tc>
      </w:tr>
    </w:tbl>
    <w:p w14:paraId="4B3AC01C" w14:textId="371AF79F" w:rsidR="00E45FCD" w:rsidRDefault="00E45FCD" w:rsidP="00E45FCD">
      <w:pPr>
        <w:spacing w:after="0" w:line="240" w:lineRule="auto"/>
      </w:pPr>
    </w:p>
    <w:tbl>
      <w:tblPr>
        <w:tblStyle w:val="Tabelacomgrade"/>
        <w:tblW w:w="9787" w:type="dxa"/>
        <w:tblInd w:w="-5" w:type="dxa"/>
        <w:tblLook w:val="04A0" w:firstRow="1" w:lastRow="0" w:firstColumn="1" w:lastColumn="0" w:noHBand="0" w:noVBand="1"/>
      </w:tblPr>
      <w:tblGrid>
        <w:gridCol w:w="9787"/>
      </w:tblGrid>
      <w:tr w:rsidR="00E45FCD" w14:paraId="17B512E0" w14:textId="77777777" w:rsidTr="007572A3">
        <w:trPr>
          <w:cantSplit/>
          <w:trHeight w:val="227"/>
        </w:trPr>
        <w:tc>
          <w:tcPr>
            <w:tcW w:w="9787" w:type="dxa"/>
            <w:shd w:val="clear" w:color="auto" w:fill="B8CCE4" w:themeFill="accent1" w:themeFillTint="66"/>
            <w:vAlign w:val="center"/>
          </w:tcPr>
          <w:p w14:paraId="1833D668" w14:textId="2C19B540" w:rsidR="00E45FCD" w:rsidRPr="008A5B5A" w:rsidRDefault="00E45FCD" w:rsidP="007572A3">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14"/>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E45FCD" w14:paraId="2111F245" w14:textId="77777777" w:rsidTr="007572A3">
        <w:trPr>
          <w:cantSplit/>
          <w:trHeight w:val="1134"/>
        </w:trPr>
        <w:tc>
          <w:tcPr>
            <w:tcW w:w="426" w:type="dxa"/>
            <w:textDirection w:val="btLr"/>
            <w:vAlign w:val="center"/>
          </w:tcPr>
          <w:p w14:paraId="18A1CC9B" w14:textId="3CEB47A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555056">
              <w:rPr>
                <w:rFonts w:ascii="Arial" w:eastAsia="Times New Roman" w:hAnsi="Arial" w:cs="Arial"/>
                <w:b/>
                <w:bCs/>
                <w:color w:val="000000"/>
                <w:sz w:val="16"/>
                <w:szCs w:val="16"/>
                <w:lang w:eastAsia="pt-BR"/>
              </w:rPr>
              <w:t>0</w:t>
            </w:r>
            <w:r w:rsidR="00D21FF1">
              <w:rPr>
                <w:rFonts w:ascii="Arial" w:eastAsia="Times New Roman" w:hAnsi="Arial" w:cs="Arial"/>
                <w:b/>
                <w:bCs/>
                <w:color w:val="000000"/>
                <w:sz w:val="16"/>
                <w:szCs w:val="16"/>
                <w:lang w:eastAsia="pt-BR"/>
              </w:rPr>
              <w:t>3</w:t>
            </w:r>
          </w:p>
        </w:tc>
        <w:tc>
          <w:tcPr>
            <w:tcW w:w="567" w:type="dxa"/>
            <w:textDirection w:val="btLr"/>
            <w:vAlign w:val="center"/>
          </w:tcPr>
          <w:p w14:paraId="123316C0"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4CFC7F51"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14:paraId="0DAD2FC7"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14:paraId="480EA79B"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7540B5A1"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14:paraId="4E84D6E6"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14:paraId="593527AB"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14:paraId="673FBD76"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14:paraId="135438C1"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E45FCD" w14:paraId="56961A82" w14:textId="77777777" w:rsidTr="007572A3">
        <w:trPr>
          <w:cantSplit/>
          <w:trHeight w:val="510"/>
        </w:trPr>
        <w:tc>
          <w:tcPr>
            <w:tcW w:w="426" w:type="dxa"/>
            <w:vMerge w:val="restart"/>
            <w:textDirection w:val="btLr"/>
          </w:tcPr>
          <w:p w14:paraId="488816B6"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14:paraId="27DC0F32"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6502-1155</w:t>
            </w:r>
          </w:p>
        </w:tc>
        <w:tc>
          <w:tcPr>
            <w:tcW w:w="425" w:type="dxa"/>
            <w:vMerge w:val="restart"/>
            <w:textDirection w:val="btLr"/>
          </w:tcPr>
          <w:p w14:paraId="403FCB27"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273472</w:t>
            </w:r>
          </w:p>
        </w:tc>
        <w:tc>
          <w:tcPr>
            <w:tcW w:w="1985" w:type="dxa"/>
            <w:vMerge w:val="restart"/>
            <w:vAlign w:val="center"/>
          </w:tcPr>
          <w:p w14:paraId="6A6176C6" w14:textId="77777777" w:rsidR="00E45FCD" w:rsidRPr="00B55278" w:rsidRDefault="00E45FCD" w:rsidP="007572A3">
            <w:pPr>
              <w:pStyle w:val="Standard"/>
              <w:widowControl/>
              <w:tabs>
                <w:tab w:val="left" w:pos="-3186"/>
              </w:tabs>
              <w:jc w:val="center"/>
              <w:rPr>
                <w:rFonts w:ascii="Arial" w:hAnsi="Arial" w:cs="Arial"/>
                <w:bCs/>
                <w:color w:val="000000" w:themeColor="text1"/>
                <w:sz w:val="16"/>
                <w:szCs w:val="16"/>
              </w:rPr>
            </w:pPr>
            <w:proofErr w:type="spellStart"/>
            <w:r w:rsidRPr="00B55278">
              <w:rPr>
                <w:rFonts w:ascii="Arial" w:hAnsi="Arial" w:cs="Arial"/>
                <w:sz w:val="16"/>
                <w:szCs w:val="16"/>
              </w:rPr>
              <w:t>Lorazepam</w:t>
            </w:r>
            <w:proofErr w:type="spellEnd"/>
            <w:r w:rsidRPr="00B55278">
              <w:rPr>
                <w:rFonts w:ascii="Arial" w:hAnsi="Arial" w:cs="Arial"/>
                <w:sz w:val="16"/>
                <w:szCs w:val="16"/>
              </w:rPr>
              <w:t>, 1 mg, Comprimido, Blister, VIA DE ADMINISTRAÇÃO: Oral, PORTARIA 344/98: B1, UNID. DE MEDIDA: Unitário</w:t>
            </w:r>
          </w:p>
        </w:tc>
        <w:tc>
          <w:tcPr>
            <w:tcW w:w="1417" w:type="dxa"/>
            <w:vAlign w:val="center"/>
          </w:tcPr>
          <w:p w14:paraId="38168171" w14:textId="77777777" w:rsidR="00E45FCD"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52709B06" w14:textId="77777777" w:rsidR="00E45FCD" w:rsidRPr="00905AAD"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250</w:t>
            </w:r>
          </w:p>
        </w:tc>
        <w:tc>
          <w:tcPr>
            <w:tcW w:w="992" w:type="dxa"/>
            <w:vAlign w:val="center"/>
          </w:tcPr>
          <w:p w14:paraId="44F82041" w14:textId="77777777" w:rsidR="00E45FCD" w:rsidRPr="00E86F16"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3.000</w:t>
            </w:r>
          </w:p>
        </w:tc>
        <w:tc>
          <w:tcPr>
            <w:tcW w:w="1032" w:type="dxa"/>
            <w:vMerge w:val="restart"/>
            <w:vAlign w:val="center"/>
          </w:tcPr>
          <w:p w14:paraId="7DFA26BD" w14:textId="77777777" w:rsidR="00E45FCD" w:rsidRPr="00E86F16" w:rsidRDefault="00E45FCD"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3.030 UNID.</w:t>
            </w:r>
          </w:p>
        </w:tc>
        <w:tc>
          <w:tcPr>
            <w:tcW w:w="1034" w:type="dxa"/>
            <w:gridSpan w:val="2"/>
            <w:vMerge w:val="restart"/>
            <w:vAlign w:val="center"/>
          </w:tcPr>
          <w:p w14:paraId="00AD2BA8" w14:textId="38445795" w:rsidR="00E45FCD" w:rsidRPr="00BF46A9" w:rsidRDefault="00E45FCD" w:rsidP="007572A3">
            <w:pPr>
              <w:spacing w:after="0" w:line="240" w:lineRule="auto"/>
              <w:jc w:val="center"/>
              <w:rPr>
                <w:rFonts w:ascii="Arial" w:hAnsi="Arial" w:cs="Arial"/>
                <w:b/>
                <w:bCs/>
                <w:sz w:val="16"/>
                <w:szCs w:val="16"/>
                <w:lang w:eastAsia="pt-BR"/>
              </w:rPr>
            </w:pPr>
            <w:r w:rsidRPr="00BF46A9">
              <w:rPr>
                <w:rFonts w:ascii="Arial" w:hAnsi="Arial" w:cs="Arial"/>
                <w:b/>
                <w:bCs/>
                <w:sz w:val="16"/>
                <w:szCs w:val="16"/>
              </w:rPr>
              <w:t xml:space="preserve">R$ </w:t>
            </w:r>
          </w:p>
          <w:p w14:paraId="0E707D6A" w14:textId="77777777" w:rsidR="00E45FCD" w:rsidRPr="00BF46A9" w:rsidRDefault="00E45FCD" w:rsidP="007572A3">
            <w:pPr>
              <w:pStyle w:val="Standard"/>
              <w:widowControl/>
              <w:tabs>
                <w:tab w:val="left" w:pos="-3186"/>
              </w:tabs>
              <w:jc w:val="center"/>
              <w:rPr>
                <w:rFonts w:ascii="Arial" w:hAnsi="Arial" w:cs="Arial"/>
                <w:bCs/>
                <w:color w:val="000000" w:themeColor="text1"/>
                <w:sz w:val="16"/>
                <w:szCs w:val="16"/>
              </w:rPr>
            </w:pPr>
          </w:p>
        </w:tc>
        <w:tc>
          <w:tcPr>
            <w:tcW w:w="1194" w:type="dxa"/>
            <w:vAlign w:val="center"/>
          </w:tcPr>
          <w:p w14:paraId="0C87F386" w14:textId="48C13CBF" w:rsidR="00E45FCD" w:rsidRPr="00BF46A9" w:rsidRDefault="00E45FCD" w:rsidP="007572A3">
            <w:pPr>
              <w:spacing w:after="0" w:line="240" w:lineRule="auto"/>
              <w:rPr>
                <w:rFonts w:ascii="Arial" w:hAnsi="Arial" w:cs="Arial"/>
                <w:sz w:val="16"/>
                <w:szCs w:val="16"/>
              </w:rPr>
            </w:pPr>
            <w:r w:rsidRPr="009124E1">
              <w:rPr>
                <w:rFonts w:ascii="Arial" w:hAnsi="Arial" w:cs="Arial"/>
                <w:b/>
                <w:bCs/>
                <w:color w:val="000000" w:themeColor="text1"/>
                <w:sz w:val="16"/>
                <w:szCs w:val="16"/>
              </w:rPr>
              <w:t>R$</w:t>
            </w:r>
          </w:p>
        </w:tc>
      </w:tr>
      <w:tr w:rsidR="00E45FCD" w14:paraId="6D69C262" w14:textId="77777777" w:rsidTr="007572A3">
        <w:trPr>
          <w:cantSplit/>
          <w:trHeight w:val="510"/>
        </w:trPr>
        <w:tc>
          <w:tcPr>
            <w:tcW w:w="426" w:type="dxa"/>
            <w:vMerge/>
            <w:textDirection w:val="btLr"/>
          </w:tcPr>
          <w:p w14:paraId="5783BF9C"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745AA5AD" w14:textId="77777777" w:rsidR="00E45FCD"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5492CE2A"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1EFC05E4" w14:textId="77777777" w:rsidR="00E45FCD" w:rsidRDefault="00E45FCD" w:rsidP="007572A3">
            <w:pPr>
              <w:pStyle w:val="Standard"/>
              <w:widowControl/>
              <w:tabs>
                <w:tab w:val="left" w:pos="-3186"/>
              </w:tabs>
              <w:jc w:val="center"/>
              <w:rPr>
                <w:rFonts w:ascii="Arial" w:hAnsi="Arial" w:cs="Arial"/>
                <w:color w:val="000000"/>
                <w:sz w:val="18"/>
                <w:szCs w:val="18"/>
              </w:rPr>
            </w:pPr>
          </w:p>
        </w:tc>
        <w:tc>
          <w:tcPr>
            <w:tcW w:w="1417" w:type="dxa"/>
            <w:vAlign w:val="center"/>
          </w:tcPr>
          <w:p w14:paraId="457AAD22" w14:textId="77777777" w:rsidR="00E45FCD"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vAlign w:val="center"/>
          </w:tcPr>
          <w:p w14:paraId="0E50B8C3" w14:textId="77777777" w:rsidR="00E45FCD" w:rsidRPr="00905AAD"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49CCC849" w14:textId="77777777" w:rsidR="00E45FCD" w:rsidRPr="00E86F16"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2" w:type="dxa"/>
            <w:vMerge/>
            <w:vAlign w:val="center"/>
          </w:tcPr>
          <w:p w14:paraId="502C823E" w14:textId="77777777" w:rsidR="00E45FCD" w:rsidRDefault="00E45FCD" w:rsidP="007572A3">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568D69AD" w14:textId="77777777" w:rsidR="00E45FCD" w:rsidRPr="00BF46A9" w:rsidRDefault="00E45FCD" w:rsidP="007572A3">
            <w:pPr>
              <w:spacing w:after="0" w:line="240" w:lineRule="auto"/>
              <w:jc w:val="center"/>
              <w:rPr>
                <w:rFonts w:ascii="Arial" w:hAnsi="Arial" w:cs="Arial"/>
                <w:b/>
                <w:bCs/>
                <w:sz w:val="16"/>
                <w:szCs w:val="16"/>
              </w:rPr>
            </w:pPr>
          </w:p>
        </w:tc>
        <w:tc>
          <w:tcPr>
            <w:tcW w:w="1194" w:type="dxa"/>
            <w:vAlign w:val="center"/>
          </w:tcPr>
          <w:p w14:paraId="0A1BF3EF" w14:textId="3CEC1A7F" w:rsidR="00E45FCD" w:rsidRPr="00BF46A9" w:rsidRDefault="00E45FCD" w:rsidP="007572A3">
            <w:pPr>
              <w:spacing w:after="0" w:line="240" w:lineRule="auto"/>
              <w:rPr>
                <w:rFonts w:ascii="Arial" w:hAnsi="Arial" w:cs="Arial"/>
                <w:sz w:val="16"/>
                <w:szCs w:val="16"/>
              </w:rPr>
            </w:pPr>
            <w:r w:rsidRPr="009124E1">
              <w:rPr>
                <w:rFonts w:ascii="Arial" w:hAnsi="Arial" w:cs="Arial"/>
                <w:b/>
                <w:bCs/>
                <w:color w:val="000000" w:themeColor="text1"/>
                <w:sz w:val="16"/>
                <w:szCs w:val="16"/>
              </w:rPr>
              <w:t>R$</w:t>
            </w:r>
          </w:p>
        </w:tc>
      </w:tr>
      <w:tr w:rsidR="00E45FCD" w14:paraId="4412F3D8" w14:textId="77777777" w:rsidTr="007572A3">
        <w:tc>
          <w:tcPr>
            <w:tcW w:w="7561" w:type="dxa"/>
            <w:gridSpan w:val="9"/>
          </w:tcPr>
          <w:p w14:paraId="0D530A0A" w14:textId="77777777" w:rsidR="00E45FCD" w:rsidRPr="00303A73" w:rsidRDefault="00E45FCD"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14:paraId="45B4CC6B" w14:textId="30E0D40F" w:rsidR="00E45FCD" w:rsidRPr="008750EB" w:rsidRDefault="00E45FCD" w:rsidP="007572A3">
            <w:pPr>
              <w:spacing w:after="0" w:line="240" w:lineRule="auto"/>
              <w:jc w:val="both"/>
              <w:rPr>
                <w:rFonts w:ascii="Times New Roman" w:hAnsi="Times New Roman" w:cs="Times New Roman"/>
                <w:b/>
                <w:bCs/>
                <w:lang w:eastAsia="pt-BR"/>
              </w:rPr>
            </w:pPr>
            <w:r w:rsidRPr="008750EB">
              <w:rPr>
                <w:rFonts w:ascii="Times New Roman" w:hAnsi="Times New Roman" w:cs="Times New Roman"/>
                <w:b/>
                <w:bCs/>
                <w:sz w:val="20"/>
              </w:rPr>
              <w:t xml:space="preserve">R$ </w:t>
            </w:r>
          </w:p>
        </w:tc>
      </w:tr>
    </w:tbl>
    <w:p w14:paraId="2621908B" w14:textId="3747E930" w:rsidR="00E45FCD" w:rsidRDefault="00E45FCD"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E45FCD" w14:paraId="18BBBF11" w14:textId="77777777" w:rsidTr="007572A3">
        <w:trPr>
          <w:cantSplit/>
          <w:trHeight w:val="227"/>
        </w:trPr>
        <w:tc>
          <w:tcPr>
            <w:tcW w:w="9787" w:type="dxa"/>
            <w:shd w:val="clear" w:color="auto" w:fill="B8CCE4" w:themeFill="accent1" w:themeFillTint="66"/>
            <w:vAlign w:val="center"/>
          </w:tcPr>
          <w:p w14:paraId="4F660ADE" w14:textId="589C500B" w:rsidR="00E45FCD" w:rsidRPr="008A5B5A" w:rsidRDefault="00E45FCD" w:rsidP="007572A3">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26"/>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E45FCD" w14:paraId="37111EFD" w14:textId="77777777" w:rsidTr="007572A3">
        <w:trPr>
          <w:cantSplit/>
          <w:trHeight w:val="1134"/>
        </w:trPr>
        <w:tc>
          <w:tcPr>
            <w:tcW w:w="426" w:type="dxa"/>
            <w:textDirection w:val="btLr"/>
            <w:vAlign w:val="center"/>
          </w:tcPr>
          <w:p w14:paraId="759DAF89" w14:textId="15FB266A"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555056">
              <w:rPr>
                <w:rFonts w:ascii="Arial" w:eastAsia="Times New Roman" w:hAnsi="Arial" w:cs="Arial"/>
                <w:b/>
                <w:bCs/>
                <w:color w:val="000000"/>
                <w:sz w:val="16"/>
                <w:szCs w:val="16"/>
                <w:lang w:eastAsia="pt-BR"/>
              </w:rPr>
              <w:t>0</w:t>
            </w:r>
            <w:r w:rsidR="00D21FF1">
              <w:rPr>
                <w:rFonts w:ascii="Arial" w:eastAsia="Times New Roman" w:hAnsi="Arial" w:cs="Arial"/>
                <w:b/>
                <w:bCs/>
                <w:color w:val="000000"/>
                <w:sz w:val="16"/>
                <w:szCs w:val="16"/>
                <w:lang w:eastAsia="pt-BR"/>
              </w:rPr>
              <w:t>4</w:t>
            </w:r>
          </w:p>
        </w:tc>
        <w:tc>
          <w:tcPr>
            <w:tcW w:w="567" w:type="dxa"/>
            <w:textDirection w:val="btLr"/>
            <w:vAlign w:val="center"/>
          </w:tcPr>
          <w:p w14:paraId="3D641C19"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4496B257" w14:textId="77777777" w:rsidR="00E45FCD" w:rsidRDefault="00E45FCD" w:rsidP="007572A3">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14:paraId="6444837A"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14:paraId="3374D14A"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238DC1ED"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14:paraId="105563DD"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14:paraId="36E4C2B1"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14:paraId="010DDCFE"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14:paraId="0BE3A3D7" w14:textId="77777777" w:rsidR="00E45FCD" w:rsidRDefault="00E45FCD" w:rsidP="007572A3">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E45FCD" w14:paraId="5B139B10" w14:textId="77777777" w:rsidTr="007572A3">
        <w:trPr>
          <w:cantSplit/>
          <w:trHeight w:val="57"/>
        </w:trPr>
        <w:tc>
          <w:tcPr>
            <w:tcW w:w="426" w:type="dxa"/>
            <w:textDirection w:val="btLr"/>
          </w:tcPr>
          <w:p w14:paraId="26DE9183"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textDirection w:val="btLr"/>
          </w:tcPr>
          <w:p w14:paraId="43811639"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6502-19792</w:t>
            </w:r>
          </w:p>
        </w:tc>
        <w:tc>
          <w:tcPr>
            <w:tcW w:w="425" w:type="dxa"/>
            <w:textDirection w:val="btLr"/>
          </w:tcPr>
          <w:p w14:paraId="4A3E550F" w14:textId="77777777" w:rsidR="00E45FCD" w:rsidRPr="00DC40A7" w:rsidRDefault="00E45FCD" w:rsidP="007572A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272853</w:t>
            </w:r>
          </w:p>
        </w:tc>
        <w:tc>
          <w:tcPr>
            <w:tcW w:w="1985" w:type="dxa"/>
            <w:vAlign w:val="center"/>
          </w:tcPr>
          <w:p w14:paraId="5451FDCF" w14:textId="77777777" w:rsidR="00E45FCD" w:rsidRPr="00327341" w:rsidRDefault="00E45FCD" w:rsidP="007572A3">
            <w:pPr>
              <w:pStyle w:val="Standard"/>
              <w:widowControl/>
              <w:tabs>
                <w:tab w:val="left" w:pos="-3186"/>
              </w:tabs>
              <w:jc w:val="center"/>
              <w:rPr>
                <w:rFonts w:ascii="Arial" w:hAnsi="Arial" w:cs="Arial"/>
                <w:bCs/>
                <w:color w:val="000000" w:themeColor="text1"/>
                <w:sz w:val="16"/>
                <w:szCs w:val="16"/>
              </w:rPr>
            </w:pPr>
            <w:proofErr w:type="spellStart"/>
            <w:r w:rsidRPr="00327341">
              <w:rPr>
                <w:rFonts w:ascii="Arial" w:hAnsi="Arial" w:cs="Arial"/>
                <w:sz w:val="16"/>
                <w:szCs w:val="16"/>
              </w:rPr>
              <w:t>Vigabatrina</w:t>
            </w:r>
            <w:proofErr w:type="spellEnd"/>
            <w:r w:rsidRPr="00327341">
              <w:rPr>
                <w:rFonts w:ascii="Arial" w:hAnsi="Arial" w:cs="Arial"/>
                <w:sz w:val="16"/>
                <w:szCs w:val="16"/>
              </w:rPr>
              <w:t>, 500mg, Comprimido, Blister, VIA DE ADMINISTRAÇÃO: Oral, PORTARIA 344/98: C1, UNID. DE MEDIDA: Unitário</w:t>
            </w:r>
          </w:p>
        </w:tc>
        <w:tc>
          <w:tcPr>
            <w:tcW w:w="1417" w:type="dxa"/>
            <w:vAlign w:val="center"/>
          </w:tcPr>
          <w:p w14:paraId="6882D479" w14:textId="77777777" w:rsidR="00E45FCD"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7E1E23D5" w14:textId="77777777" w:rsidR="00E45FCD" w:rsidRPr="00905AAD"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125</w:t>
            </w:r>
          </w:p>
        </w:tc>
        <w:tc>
          <w:tcPr>
            <w:tcW w:w="992" w:type="dxa"/>
            <w:vAlign w:val="center"/>
          </w:tcPr>
          <w:p w14:paraId="6551A893" w14:textId="77777777" w:rsidR="00E45FCD" w:rsidRPr="00E86F16" w:rsidRDefault="00E45FCD" w:rsidP="007572A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c>
          <w:tcPr>
            <w:tcW w:w="1032" w:type="dxa"/>
            <w:vAlign w:val="center"/>
          </w:tcPr>
          <w:p w14:paraId="08BCF589" w14:textId="77777777" w:rsidR="00E45FCD" w:rsidRPr="00E86F16" w:rsidRDefault="00E45FCD"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1.500 UNID.</w:t>
            </w:r>
          </w:p>
        </w:tc>
        <w:tc>
          <w:tcPr>
            <w:tcW w:w="1034" w:type="dxa"/>
            <w:gridSpan w:val="2"/>
            <w:vAlign w:val="center"/>
          </w:tcPr>
          <w:p w14:paraId="54242BFC" w14:textId="43B753A1" w:rsidR="00E45FCD" w:rsidRPr="009F52E4" w:rsidRDefault="00E45FCD" w:rsidP="007572A3">
            <w:pPr>
              <w:spacing w:after="0" w:line="240" w:lineRule="auto"/>
              <w:jc w:val="center"/>
              <w:rPr>
                <w:rFonts w:ascii="Arial" w:hAnsi="Arial" w:cs="Arial"/>
                <w:b/>
                <w:bCs/>
                <w:sz w:val="16"/>
                <w:szCs w:val="16"/>
                <w:lang w:eastAsia="pt-BR"/>
              </w:rPr>
            </w:pPr>
            <w:r w:rsidRPr="009F52E4">
              <w:rPr>
                <w:rFonts w:ascii="Arial" w:hAnsi="Arial" w:cs="Arial"/>
                <w:b/>
                <w:bCs/>
                <w:sz w:val="16"/>
                <w:szCs w:val="16"/>
              </w:rPr>
              <w:t>R$</w:t>
            </w:r>
          </w:p>
        </w:tc>
        <w:tc>
          <w:tcPr>
            <w:tcW w:w="1194" w:type="dxa"/>
            <w:vAlign w:val="center"/>
          </w:tcPr>
          <w:p w14:paraId="0AB84AA0" w14:textId="6B102765" w:rsidR="00E45FCD" w:rsidRPr="009F52E4" w:rsidRDefault="00E45FCD" w:rsidP="007572A3">
            <w:pPr>
              <w:spacing w:after="0" w:line="240" w:lineRule="auto"/>
              <w:rPr>
                <w:rFonts w:ascii="Arial" w:hAnsi="Arial" w:cs="Arial"/>
                <w:sz w:val="16"/>
                <w:szCs w:val="16"/>
              </w:rPr>
            </w:pPr>
            <w:r w:rsidRPr="00663F51">
              <w:rPr>
                <w:rFonts w:ascii="Arial" w:hAnsi="Arial" w:cs="Arial"/>
                <w:b/>
                <w:bCs/>
                <w:color w:val="000000" w:themeColor="text1"/>
                <w:sz w:val="16"/>
              </w:rPr>
              <w:t>R$</w:t>
            </w:r>
          </w:p>
        </w:tc>
      </w:tr>
      <w:tr w:rsidR="00E45FCD" w14:paraId="724948A1" w14:textId="77777777" w:rsidTr="007572A3">
        <w:tc>
          <w:tcPr>
            <w:tcW w:w="7561" w:type="dxa"/>
            <w:gridSpan w:val="9"/>
          </w:tcPr>
          <w:p w14:paraId="1A30A4D5" w14:textId="77777777" w:rsidR="00E45FCD" w:rsidRPr="00303A73" w:rsidRDefault="00E45FCD" w:rsidP="007572A3">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14:paraId="5730480F" w14:textId="37F4C1B0" w:rsidR="00E45FCD" w:rsidRPr="00A47FE0" w:rsidRDefault="00E45FCD" w:rsidP="007572A3">
            <w:pPr>
              <w:spacing w:after="0" w:line="240" w:lineRule="auto"/>
              <w:jc w:val="both"/>
              <w:rPr>
                <w:rFonts w:ascii="Times New Roman" w:hAnsi="Times New Roman" w:cs="Times New Roman"/>
                <w:b/>
                <w:bCs/>
                <w:lang w:eastAsia="pt-BR"/>
              </w:rPr>
            </w:pPr>
            <w:r w:rsidRPr="00A47FE0">
              <w:rPr>
                <w:rFonts w:ascii="Times New Roman" w:hAnsi="Times New Roman" w:cs="Times New Roman"/>
                <w:b/>
                <w:bCs/>
                <w:sz w:val="20"/>
              </w:rPr>
              <w:t xml:space="preserve">R$ </w:t>
            </w:r>
          </w:p>
        </w:tc>
      </w:tr>
    </w:tbl>
    <w:p w14:paraId="0A1C1523" w14:textId="77777777" w:rsidR="008046FB" w:rsidRDefault="008046FB" w:rsidP="004767D1">
      <w:pPr>
        <w:pStyle w:val="Default"/>
        <w:tabs>
          <w:tab w:val="left" w:pos="284"/>
          <w:tab w:val="left" w:pos="709"/>
          <w:tab w:val="left" w:pos="851"/>
        </w:tabs>
        <w:ind w:left="375"/>
        <w:jc w:val="both"/>
        <w:rPr>
          <w:color w:val="000000" w:themeColor="text1"/>
          <w:sz w:val="22"/>
          <w:szCs w:val="22"/>
        </w:rPr>
      </w:pPr>
    </w:p>
    <w:p w14:paraId="66659C39" w14:textId="6A006E0C" w:rsidR="003E0AE8" w:rsidRDefault="003E0AE8" w:rsidP="004767D1">
      <w:pPr>
        <w:pStyle w:val="Default"/>
        <w:tabs>
          <w:tab w:val="left" w:pos="284"/>
          <w:tab w:val="left" w:pos="709"/>
          <w:tab w:val="left" w:pos="851"/>
        </w:tabs>
        <w:ind w:left="375"/>
        <w:jc w:val="both"/>
        <w:rPr>
          <w:color w:val="000000" w:themeColor="text1"/>
          <w:sz w:val="22"/>
          <w:szCs w:val="22"/>
        </w:rPr>
      </w:pPr>
    </w:p>
    <w:p w14:paraId="2D8AB440" w14:textId="77777777" w:rsidR="002C170E" w:rsidRDefault="002C170E" w:rsidP="004767D1">
      <w:pPr>
        <w:pStyle w:val="Default"/>
        <w:tabs>
          <w:tab w:val="left" w:pos="284"/>
          <w:tab w:val="left" w:pos="709"/>
          <w:tab w:val="left" w:pos="851"/>
        </w:tabs>
        <w:ind w:left="375"/>
        <w:jc w:val="both"/>
        <w:rPr>
          <w:color w:val="000000" w:themeColor="text1"/>
          <w:sz w:val="22"/>
          <w:szCs w:val="22"/>
        </w:rPr>
      </w:pP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972A89" w:rsidRPr="00974207" w14:paraId="3958DAC9" w14:textId="77777777" w:rsidTr="0031577D">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330E8CF3" w:rsidR="00972A89" w:rsidRPr="00974207" w:rsidRDefault="00D320AE" w:rsidP="00972A89">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HIWN</w:t>
            </w:r>
          </w:p>
        </w:tc>
        <w:tc>
          <w:tcPr>
            <w:tcW w:w="2662" w:type="pct"/>
            <w:tcBorders>
              <w:top w:val="single" w:sz="4" w:space="0" w:color="auto"/>
              <w:left w:val="nil"/>
              <w:bottom w:val="single" w:sz="4" w:space="0" w:color="auto"/>
              <w:right w:val="single" w:sz="4" w:space="0" w:color="auto"/>
            </w:tcBorders>
            <w:shd w:val="clear" w:color="auto" w:fill="auto"/>
            <w:noWrap/>
          </w:tcPr>
          <w:p w14:paraId="218D007F" w14:textId="43527F11" w:rsidR="00972A89" w:rsidRPr="00B22AB9" w:rsidRDefault="00972A89" w:rsidP="00972A89">
            <w:pPr>
              <w:spacing w:after="0" w:line="240" w:lineRule="auto"/>
              <w:jc w:val="center"/>
              <w:rPr>
                <w:rFonts w:ascii="Arial" w:hAnsi="Arial" w:cs="Arial"/>
                <w:sz w:val="20"/>
                <w:szCs w:val="20"/>
              </w:rPr>
            </w:pPr>
            <w:r w:rsidRPr="00B22AB9">
              <w:rPr>
                <w:rFonts w:ascii="Arial" w:hAnsi="Arial" w:cs="Arial"/>
                <w:sz w:val="20"/>
                <w:szCs w:val="20"/>
              </w:rPr>
              <w:t>R$</w:t>
            </w:r>
          </w:p>
        </w:tc>
      </w:tr>
      <w:tr w:rsidR="00D320AE" w:rsidRPr="00974207" w14:paraId="30A57169" w14:textId="77777777" w:rsidTr="001427A3">
        <w:trPr>
          <w:trHeight w:val="106"/>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270E582" w14:textId="4429CC32" w:rsidR="00D320AE" w:rsidRPr="00974207" w:rsidRDefault="00D320AE" w:rsidP="00D320AE">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tcPr>
          <w:p w14:paraId="502182D8" w14:textId="4EE17CCD" w:rsidR="00D320AE" w:rsidRPr="00B22AB9" w:rsidRDefault="00D320AE" w:rsidP="00D320AE">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D320AE" w:rsidRPr="00974207" w14:paraId="4E3F6CB6" w14:textId="77777777" w:rsidTr="00D320AE">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55FC93EC" w14:textId="128B6133" w:rsidR="00D320AE" w:rsidRPr="00974207" w:rsidRDefault="00D320AE" w:rsidP="00D320AE">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tcPr>
          <w:p w14:paraId="55C3A936" w14:textId="3B7DA535" w:rsidR="00D320AE" w:rsidRPr="00B22AB9" w:rsidRDefault="00D320AE" w:rsidP="00D320AE">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D320AE" w:rsidRPr="00974207" w14:paraId="253EADAD"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651D49BD" w:rsidR="00D320AE" w:rsidRPr="00974207" w:rsidRDefault="00D320AE" w:rsidP="00D320AE">
            <w:pPr>
              <w:spacing w:after="0" w:line="240" w:lineRule="auto"/>
              <w:jc w:val="center"/>
              <w:rPr>
                <w:rFonts w:ascii="Arial" w:eastAsia="Times New Roman" w:hAnsi="Arial" w:cs="Arial"/>
                <w:b/>
                <w:bCs/>
                <w:sz w:val="20"/>
                <w:szCs w:val="20"/>
                <w:lang w:eastAsia="pt-BR"/>
              </w:rPr>
            </w:pPr>
            <w:r w:rsidRPr="00216267">
              <w:rPr>
                <w:rFonts w:ascii="Arial" w:hAnsi="Arial" w:cs="Arial"/>
                <w:bCs/>
                <w:color w:val="000000" w:themeColor="text1"/>
                <w:sz w:val="20"/>
              </w:rPr>
              <w:t>HRCO</w:t>
            </w:r>
          </w:p>
        </w:tc>
        <w:tc>
          <w:tcPr>
            <w:tcW w:w="2662" w:type="pct"/>
            <w:tcBorders>
              <w:top w:val="nil"/>
              <w:left w:val="nil"/>
              <w:bottom w:val="single" w:sz="4" w:space="0" w:color="auto"/>
              <w:right w:val="single" w:sz="4" w:space="0" w:color="auto"/>
            </w:tcBorders>
            <w:shd w:val="clear" w:color="auto" w:fill="auto"/>
            <w:noWrap/>
          </w:tcPr>
          <w:p w14:paraId="00750B49" w14:textId="5E37A8D6" w:rsidR="00D320AE" w:rsidRPr="00B22AB9" w:rsidRDefault="00D320AE" w:rsidP="00D320AE">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D320AE" w:rsidRPr="00974207" w14:paraId="4238866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2FA2C236" w:rsidR="00D320AE" w:rsidRPr="00974207" w:rsidRDefault="00D320AE" w:rsidP="00D320AE">
            <w:pPr>
              <w:spacing w:after="0" w:line="240" w:lineRule="auto"/>
              <w:jc w:val="center"/>
              <w:rPr>
                <w:rFonts w:ascii="Arial" w:eastAsia="Times New Roman" w:hAnsi="Arial" w:cs="Arial"/>
                <w:b/>
                <w:bCs/>
                <w:sz w:val="20"/>
                <w:szCs w:val="20"/>
                <w:lang w:eastAsia="pt-BR"/>
              </w:rPr>
            </w:pPr>
            <w:r>
              <w:rPr>
                <w:rFonts w:ascii="Arial" w:eastAsia="Times New Roman" w:hAnsi="Arial" w:cs="Arial"/>
                <w:sz w:val="20"/>
                <w:szCs w:val="20"/>
                <w:lang w:eastAsia="pt-BR"/>
              </w:rPr>
              <w:t>HRIV</w:t>
            </w:r>
          </w:p>
        </w:tc>
        <w:tc>
          <w:tcPr>
            <w:tcW w:w="2662" w:type="pct"/>
            <w:tcBorders>
              <w:top w:val="nil"/>
              <w:left w:val="nil"/>
              <w:bottom w:val="single" w:sz="4" w:space="0" w:color="auto"/>
              <w:right w:val="single" w:sz="4" w:space="0" w:color="auto"/>
            </w:tcBorders>
            <w:shd w:val="clear" w:color="auto" w:fill="auto"/>
            <w:noWrap/>
          </w:tcPr>
          <w:p w14:paraId="4D795180" w14:textId="1854F7A1" w:rsidR="00D320AE" w:rsidRPr="00B22AB9" w:rsidRDefault="00D320AE" w:rsidP="00D320AE">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D320AE" w:rsidRPr="00974207" w14:paraId="71722C2E"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12015056" w:rsidR="00D320AE" w:rsidRPr="00974207" w:rsidRDefault="00D320AE" w:rsidP="00D320AE">
            <w:pPr>
              <w:spacing w:after="0" w:line="240" w:lineRule="auto"/>
              <w:jc w:val="center"/>
              <w:rPr>
                <w:rFonts w:ascii="Arial" w:eastAsia="Times New Roman" w:hAnsi="Arial" w:cs="Arial"/>
                <w:b/>
                <w:bCs/>
                <w:sz w:val="20"/>
                <w:szCs w:val="20"/>
                <w:lang w:eastAsia="pt-BR"/>
              </w:rPr>
            </w:pPr>
            <w:r>
              <w:rPr>
                <w:rFonts w:ascii="Arial" w:eastAsia="Times New Roman" w:hAnsi="Arial" w:cs="Arial"/>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3F927A7F" w14:textId="0EACA5D2" w:rsidR="00D320AE" w:rsidRPr="00B22AB9" w:rsidRDefault="00D320AE" w:rsidP="00D320AE">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D320AE" w:rsidRPr="00974207" w14:paraId="2B6E9609"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276890A5" w:rsidR="00D320AE" w:rsidRPr="00D320AE" w:rsidRDefault="00D320AE" w:rsidP="00D320AE">
            <w:pPr>
              <w:spacing w:after="0" w:line="240" w:lineRule="auto"/>
              <w:jc w:val="center"/>
              <w:rPr>
                <w:rFonts w:ascii="Arial" w:eastAsia="Times New Roman" w:hAnsi="Arial" w:cs="Arial"/>
                <w:bCs/>
                <w:sz w:val="20"/>
                <w:szCs w:val="20"/>
                <w:lang w:eastAsia="pt-BR"/>
              </w:rPr>
            </w:pPr>
            <w:r w:rsidRPr="00D320AE">
              <w:rPr>
                <w:rFonts w:ascii="Arial" w:eastAsia="Times New Roman" w:hAnsi="Arial" w:cs="Arial"/>
                <w:bCs/>
                <w:sz w:val="20"/>
                <w:szCs w:val="20"/>
                <w:lang w:eastAsia="pt-BR"/>
              </w:rPr>
              <w:t>HCAB</w:t>
            </w:r>
          </w:p>
        </w:tc>
        <w:tc>
          <w:tcPr>
            <w:tcW w:w="2662" w:type="pct"/>
            <w:tcBorders>
              <w:top w:val="nil"/>
              <w:left w:val="nil"/>
              <w:bottom w:val="single" w:sz="4" w:space="0" w:color="auto"/>
              <w:right w:val="single" w:sz="4" w:space="0" w:color="auto"/>
            </w:tcBorders>
            <w:shd w:val="clear" w:color="auto" w:fill="auto"/>
            <w:noWrap/>
          </w:tcPr>
          <w:p w14:paraId="742ADD09" w14:textId="106223F6" w:rsidR="00D320AE" w:rsidRPr="00B22AB9" w:rsidRDefault="00D320AE" w:rsidP="00D320AE">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D320AE" w:rsidRPr="00974207" w14:paraId="6AED6041" w14:textId="77777777" w:rsidTr="00FD13D9">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D320AE" w:rsidRPr="00974207" w:rsidRDefault="00D320AE" w:rsidP="00D320AE">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tcPr>
          <w:p w14:paraId="425FA944" w14:textId="46660616" w:rsidR="00D320AE" w:rsidRPr="00B22AB9" w:rsidRDefault="00D320AE" w:rsidP="00D320AE">
            <w:pPr>
              <w:spacing w:after="0" w:line="240" w:lineRule="auto"/>
              <w:jc w:val="center"/>
              <w:rPr>
                <w:rFonts w:ascii="Arial" w:eastAsia="Times New Roman" w:hAnsi="Arial" w:cs="Arial"/>
                <w:b/>
                <w:bCs/>
                <w:sz w:val="20"/>
                <w:szCs w:val="20"/>
                <w:lang w:eastAsia="pt-BR"/>
              </w:rPr>
            </w:pPr>
            <w:r w:rsidRPr="00B22AB9">
              <w:rPr>
                <w:rFonts w:ascii="Arial" w:hAnsi="Arial" w:cs="Arial"/>
                <w:b/>
                <w:sz w:val="20"/>
                <w:szCs w:val="20"/>
              </w:rPr>
              <w:t>R$</w:t>
            </w:r>
          </w:p>
        </w:tc>
      </w:tr>
    </w:tbl>
    <w:p w14:paraId="5EF0C01A" w14:textId="56D19BF0" w:rsidR="00755D42" w:rsidRDefault="00755D42" w:rsidP="00057368">
      <w:pPr>
        <w:pStyle w:val="Standard"/>
        <w:widowControl/>
        <w:spacing w:line="360" w:lineRule="auto"/>
        <w:jc w:val="both"/>
        <w:rPr>
          <w:rFonts w:ascii="Arial" w:hAnsi="Arial" w:cs="Arial"/>
          <w:b/>
          <w:color w:val="000000" w:themeColor="text1"/>
          <w:sz w:val="22"/>
          <w:szCs w:val="22"/>
        </w:rPr>
      </w:pPr>
    </w:p>
    <w:p w14:paraId="42583B9A" w14:textId="77777777" w:rsidR="008046FB" w:rsidRDefault="008046FB" w:rsidP="00057368">
      <w:pPr>
        <w:pStyle w:val="Standard"/>
        <w:widowControl/>
        <w:spacing w:line="360" w:lineRule="auto"/>
        <w:jc w:val="both"/>
        <w:rPr>
          <w:rFonts w:ascii="Arial" w:hAnsi="Arial" w:cs="Arial"/>
          <w:b/>
          <w:color w:val="000000" w:themeColor="text1"/>
          <w:sz w:val="22"/>
          <w:szCs w:val="22"/>
        </w:rPr>
      </w:pPr>
    </w:p>
    <w:p w14:paraId="5B7D2D9E" w14:textId="4DADDA96" w:rsidR="00781B13" w:rsidRPr="0084772B" w:rsidRDefault="00057368" w:rsidP="00392FA1">
      <w:pPr>
        <w:pStyle w:val="Standard"/>
        <w:widowControl/>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t>1.2</w:t>
      </w:r>
      <w:r w:rsidR="0047305D" w:rsidRPr="0084772B">
        <w:rPr>
          <w:rFonts w:ascii="Arial" w:hAnsi="Arial" w:cs="Arial"/>
          <w:b/>
          <w:color w:val="000000" w:themeColor="text1"/>
          <w:sz w:val="22"/>
          <w:szCs w:val="22"/>
        </w:rPr>
        <w:t xml:space="preserve"> </w:t>
      </w:r>
      <w:r w:rsidR="00AA4A85"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lastRenderedPageBreak/>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34133369" w14:textId="2387E88C" w:rsidR="00AA4A85" w:rsidRPr="0084772B" w:rsidRDefault="00AA4A85" w:rsidP="0084772B">
      <w:pPr>
        <w:pStyle w:val="PargrafodaLista"/>
        <w:numPr>
          <w:ilvl w:val="1"/>
          <w:numId w:val="12"/>
        </w:numPr>
        <w:autoSpaceDN w:val="0"/>
        <w:spacing w:line="360" w:lineRule="auto"/>
        <w:ind w:left="709" w:hanging="720"/>
        <w:jc w:val="both"/>
        <w:rPr>
          <w:rFonts w:ascii="Arial" w:hAnsi="Arial" w:cs="Arial"/>
          <w:color w:val="000000" w:themeColor="text1"/>
          <w:sz w:val="22"/>
          <w:szCs w:val="22"/>
        </w:rPr>
      </w:pPr>
      <w:r w:rsidRPr="0084772B">
        <w:rPr>
          <w:rFonts w:ascii="Arial" w:hAnsi="Arial" w:cs="Arial"/>
          <w:b/>
          <w:bCs/>
          <w:color w:val="000000" w:themeColor="text1"/>
          <w:sz w:val="22"/>
          <w:szCs w:val="22"/>
        </w:rPr>
        <w:t>DO FORNECIMENTO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lastRenderedPageBreak/>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1DDA71E2" w14:textId="7D224CA0" w:rsidR="009C701C" w:rsidRDefault="009C701C" w:rsidP="00AE0E71">
      <w:pPr>
        <w:spacing w:after="0" w:line="360" w:lineRule="auto"/>
        <w:jc w:val="both"/>
        <w:rPr>
          <w:rFonts w:ascii="Arial" w:hAnsi="Arial" w:cs="Arial"/>
          <w:color w:val="000000" w:themeColor="text1"/>
          <w:shd w:val="clear" w:color="auto" w:fill="FFFFFF"/>
        </w:rPr>
      </w:pPr>
    </w:p>
    <w:p w14:paraId="27E285B2" w14:textId="77777777" w:rsidR="00103EA5" w:rsidRPr="0084772B" w:rsidRDefault="00103EA5" w:rsidP="00AE0E71">
      <w:pPr>
        <w:spacing w:after="0" w:line="360" w:lineRule="auto"/>
        <w:jc w:val="both"/>
        <w:rPr>
          <w:rFonts w:ascii="Arial" w:hAnsi="Arial" w:cs="Arial"/>
          <w:color w:val="000000" w:themeColor="text1"/>
          <w:shd w:val="clear" w:color="auto" w:fill="FFFFFF"/>
        </w:rPr>
      </w:pPr>
    </w:p>
    <w:p w14:paraId="3AB42DF1" w14:textId="7A73E2E1"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D13C11" w:rsidRPr="00DE0BA4">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677C090D"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14:paraId="1C741742" w14:textId="382FC2F9" w:rsidR="00D22B85" w:rsidRDefault="00D22B85" w:rsidP="0084772B">
      <w:pPr>
        <w:spacing w:after="0" w:line="360" w:lineRule="auto"/>
        <w:jc w:val="both"/>
        <w:rPr>
          <w:rFonts w:ascii="Arial" w:hAnsi="Arial" w:cs="Arial"/>
          <w:bCs/>
          <w:color w:val="000000" w:themeColor="text1"/>
        </w:rPr>
      </w:pPr>
    </w:p>
    <w:p w14:paraId="1B57A4F9" w14:textId="77777777" w:rsidR="00103EA5" w:rsidRPr="0084772B" w:rsidRDefault="00103EA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lastRenderedPageBreak/>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2"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77777777" w:rsidR="00ED1E3A" w:rsidRPr="00452554" w:rsidRDefault="00ED1E3A" w:rsidP="000901B4">
      <w:pPr>
        <w:spacing w:after="0" w:line="360" w:lineRule="auto"/>
        <w:ind w:right="533"/>
        <w:rPr>
          <w:rFonts w:ascii="Arial" w:hAnsi="Arial" w:cs="Arial"/>
          <w:color w:val="000000" w:themeColor="text1"/>
          <w:sz w:val="32"/>
        </w:rPr>
      </w:pPr>
    </w:p>
    <w:bookmarkEnd w:id="2"/>
    <w:p w14:paraId="553FEDAF" w14:textId="31E09EE0" w:rsidR="00AA4A85" w:rsidRPr="0084772B"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84772B">
        <w:rPr>
          <w:rFonts w:ascii="Arial" w:hAnsi="Arial" w:cs="Arial"/>
          <w:b/>
          <w:bCs/>
          <w:color w:val="000000" w:themeColor="text1"/>
          <w:sz w:val="22"/>
          <w:szCs w:val="22"/>
        </w:rPr>
        <w:t xml:space="preserve">JUSTIFICATIVA E OBJETIVO DA CONTRATAÇÃO </w:t>
      </w:r>
    </w:p>
    <w:p w14:paraId="3DC43D36" w14:textId="085F132D" w:rsidR="009A6666" w:rsidRPr="009A6666" w:rsidRDefault="009D7BE3" w:rsidP="009A6666">
      <w:pPr>
        <w:pStyle w:val="Standard"/>
        <w:widowControl/>
        <w:tabs>
          <w:tab w:val="left" w:pos="-3186"/>
        </w:tabs>
        <w:spacing w:line="360" w:lineRule="auto"/>
        <w:ind w:firstLine="851"/>
        <w:jc w:val="both"/>
        <w:rPr>
          <w:rFonts w:ascii="Arial" w:hAnsi="Arial" w:cs="Arial"/>
          <w:bCs/>
          <w:sz w:val="22"/>
          <w:szCs w:val="22"/>
        </w:rPr>
      </w:pPr>
      <w:r>
        <w:rPr>
          <w:rFonts w:ascii="Arial" w:hAnsi="Arial" w:cs="Arial"/>
          <w:sz w:val="22"/>
          <w:szCs w:val="22"/>
        </w:rPr>
        <w:tab/>
      </w:r>
      <w:r w:rsidR="009A6666" w:rsidRPr="009A6666">
        <w:rPr>
          <w:rFonts w:ascii="Arial" w:hAnsi="Arial" w:cs="Arial"/>
          <w:sz w:val="22"/>
          <w:szCs w:val="22"/>
        </w:rPr>
        <w:t xml:space="preserve">Trata o Processo Administrativo </w:t>
      </w:r>
      <w:r w:rsidR="009A6666" w:rsidRPr="009A6666">
        <w:rPr>
          <w:rFonts w:ascii="Arial" w:hAnsi="Arial" w:cs="Arial"/>
          <w:b/>
          <w:sz w:val="22"/>
          <w:szCs w:val="22"/>
        </w:rPr>
        <w:t xml:space="preserve">P. </w:t>
      </w:r>
      <w:r w:rsidR="00820915">
        <w:rPr>
          <w:rFonts w:ascii="Arial" w:hAnsi="Arial" w:cs="Arial"/>
          <w:b/>
          <w:sz w:val="22"/>
          <w:szCs w:val="22"/>
        </w:rPr>
        <w:t xml:space="preserve">     </w:t>
      </w:r>
      <w:bookmarkStart w:id="3" w:name="_GoBack"/>
      <w:bookmarkEnd w:id="3"/>
      <w:r w:rsidR="009A6666" w:rsidRPr="009A6666">
        <w:rPr>
          <w:rFonts w:ascii="Arial" w:hAnsi="Arial" w:cs="Arial"/>
          <w:sz w:val="22"/>
          <w:szCs w:val="22"/>
        </w:rPr>
        <w:t>de Dispensa de Licitação Global para a</w:t>
      </w:r>
      <w:r w:rsidR="009A6666" w:rsidRPr="009A6666">
        <w:rPr>
          <w:rFonts w:ascii="Arial" w:eastAsia="Arial" w:hAnsi="Arial" w:cs="Arial"/>
          <w:sz w:val="22"/>
          <w:szCs w:val="22"/>
        </w:rPr>
        <w:t xml:space="preserve">quisição </w:t>
      </w:r>
      <w:r w:rsidR="009A6666" w:rsidRPr="009A6666">
        <w:rPr>
          <w:rFonts w:ascii="Arial" w:hAnsi="Arial" w:cs="Arial"/>
          <w:sz w:val="22"/>
          <w:szCs w:val="22"/>
        </w:rPr>
        <w:t xml:space="preserve">de </w:t>
      </w:r>
      <w:r w:rsidR="009A6666" w:rsidRPr="009A6666">
        <w:rPr>
          <w:rFonts w:ascii="Arial" w:hAnsi="Arial" w:cs="Arial"/>
          <w:b/>
          <w:bCs/>
          <w:sz w:val="22"/>
          <w:szCs w:val="22"/>
        </w:rPr>
        <w:t>MEDICAMENTOS – PSICOTRÓPICOS 1</w:t>
      </w:r>
      <w:r w:rsidR="009A6666" w:rsidRPr="009A6666">
        <w:rPr>
          <w:rFonts w:ascii="Arial" w:eastAsia="Arial" w:hAnsi="Arial" w:cs="Arial"/>
          <w:sz w:val="22"/>
          <w:szCs w:val="22"/>
        </w:rPr>
        <w:t xml:space="preserve"> </w:t>
      </w:r>
      <w:r w:rsidR="009A6666" w:rsidRPr="009A6666">
        <w:rPr>
          <w:rFonts w:ascii="Arial" w:hAnsi="Arial" w:cs="Arial"/>
          <w:bCs/>
          <w:color w:val="000000" w:themeColor="text1"/>
          <w:sz w:val="22"/>
          <w:szCs w:val="22"/>
        </w:rPr>
        <w:t xml:space="preserve">fundamentada no </w:t>
      </w:r>
      <w:r w:rsidR="009A6666" w:rsidRPr="009A6666">
        <w:rPr>
          <w:rFonts w:ascii="Arial" w:hAnsi="Arial" w:cs="Arial"/>
          <w:b/>
          <w:bCs/>
          <w:color w:val="000000" w:themeColor="text1"/>
          <w:sz w:val="22"/>
          <w:szCs w:val="22"/>
        </w:rPr>
        <w:t>inciso V</w:t>
      </w:r>
      <w:r w:rsidR="009A6666" w:rsidRPr="009A6666">
        <w:rPr>
          <w:rFonts w:ascii="Arial" w:hAnsi="Arial" w:cs="Arial"/>
          <w:bCs/>
          <w:color w:val="000000" w:themeColor="text1"/>
          <w:sz w:val="22"/>
          <w:szCs w:val="22"/>
        </w:rPr>
        <w:t xml:space="preserve"> do art. 24 da Lei Federal nº 8666/9,</w:t>
      </w:r>
      <w:r w:rsidR="009A6666" w:rsidRPr="009A6666">
        <w:rPr>
          <w:rFonts w:ascii="Arial" w:eastAsia="Arial" w:hAnsi="Arial" w:cs="Arial"/>
          <w:sz w:val="22"/>
          <w:szCs w:val="22"/>
        </w:rPr>
        <w:t xml:space="preserve"> p</w:t>
      </w:r>
      <w:r w:rsidR="009A6666" w:rsidRPr="009A6666">
        <w:rPr>
          <w:rFonts w:ascii="Arial" w:eastAsia="Arial" w:hAnsi="Arial" w:cs="Arial"/>
          <w:bCs/>
          <w:sz w:val="22"/>
          <w:szCs w:val="22"/>
        </w:rPr>
        <w:t>ara a</w:t>
      </w:r>
      <w:r w:rsidR="009A6666" w:rsidRPr="009A6666">
        <w:rPr>
          <w:rFonts w:ascii="Arial" w:eastAsia="Arial" w:hAnsi="Arial" w:cs="Arial"/>
          <w:sz w:val="22"/>
          <w:szCs w:val="22"/>
        </w:rPr>
        <w:t xml:space="preserve">tender as </w:t>
      </w:r>
      <w:r w:rsidR="009A6666" w:rsidRPr="009A6666">
        <w:rPr>
          <w:rFonts w:ascii="Arial" w:hAnsi="Arial" w:cs="Arial"/>
          <w:bCs/>
          <w:sz w:val="22"/>
          <w:szCs w:val="22"/>
        </w:rPr>
        <w:t>d</w:t>
      </w:r>
      <w:r w:rsidR="009A6666" w:rsidRPr="009A6666">
        <w:rPr>
          <w:rFonts w:ascii="Arial" w:eastAsia="Arial" w:hAnsi="Arial" w:cs="Arial"/>
          <w:sz w:val="22"/>
          <w:szCs w:val="22"/>
        </w:rPr>
        <w:t xml:space="preserve">emandas das unidades FUNEAS: </w:t>
      </w:r>
      <w:r w:rsidR="009A6666" w:rsidRPr="009A6666">
        <w:rPr>
          <w:rFonts w:ascii="Arial" w:eastAsia="Times New Roman" w:hAnsi="Arial" w:cs="Arial"/>
          <w:sz w:val="22"/>
          <w:szCs w:val="22"/>
          <w:lang w:eastAsia="pt-BR"/>
        </w:rPr>
        <w:t xml:space="preserve">Hospital Infantil Waldemar Monastier (HIWM), Hospital Regional Norte Pioneiro (HRNP), Hospital Regional Walter Alberto Pecoits (HRSWAP), Hospital Regional Centro Oeste (HRCO), Hospital Regional de Ivaiporã (HRIV) e Hospital Telêmaco Borba (HRTB), </w:t>
      </w:r>
      <w:r w:rsidR="009A6666" w:rsidRPr="009A6666">
        <w:rPr>
          <w:rFonts w:ascii="Arial" w:hAnsi="Arial" w:cs="Arial"/>
          <w:sz w:val="22"/>
          <w:szCs w:val="22"/>
        </w:rPr>
        <w:t>Hospital Adauto Botelho (HCAB),</w:t>
      </w:r>
      <w:r w:rsidR="009A6666" w:rsidRPr="009A6666">
        <w:rPr>
          <w:rFonts w:ascii="Arial" w:eastAsia="Arial" w:hAnsi="Arial" w:cs="Arial"/>
          <w:sz w:val="22"/>
          <w:szCs w:val="22"/>
        </w:rPr>
        <w:t xml:space="preserve"> pelo período de 12 (doze) meses, conforme motivação abaixo:</w:t>
      </w:r>
    </w:p>
    <w:p w14:paraId="2C6D02C8" w14:textId="77777777" w:rsidR="009A6666" w:rsidRPr="009A6666" w:rsidRDefault="009A6666" w:rsidP="009A6666">
      <w:pPr>
        <w:autoSpaceDE w:val="0"/>
        <w:autoSpaceDN w:val="0"/>
        <w:adjustRightInd w:val="0"/>
        <w:spacing w:line="360" w:lineRule="auto"/>
        <w:ind w:firstLine="851"/>
        <w:jc w:val="both"/>
        <w:rPr>
          <w:rFonts w:ascii="Arial" w:hAnsi="Arial" w:cs="Arial"/>
        </w:rPr>
      </w:pPr>
    </w:p>
    <w:p w14:paraId="6D10750A" w14:textId="77777777" w:rsidR="009A6666" w:rsidRPr="009A6666" w:rsidRDefault="009A6666" w:rsidP="009A6666">
      <w:pPr>
        <w:spacing w:after="103"/>
        <w:ind w:firstLine="851"/>
        <w:jc w:val="both"/>
        <w:rPr>
          <w:rFonts w:ascii="Arial" w:hAnsi="Arial" w:cs="Arial"/>
          <w:b/>
          <w:bCs/>
        </w:rPr>
      </w:pPr>
      <w:r w:rsidRPr="009A6666">
        <w:rPr>
          <w:rFonts w:ascii="Arial" w:hAnsi="Arial" w:cs="Arial"/>
          <w:b/>
          <w:bCs/>
        </w:rPr>
        <w:t>DA LEGITIMIDADE</w:t>
      </w:r>
    </w:p>
    <w:p w14:paraId="2B66FE4A" w14:textId="77777777" w:rsidR="009A6666" w:rsidRPr="009A6666" w:rsidRDefault="009A6666" w:rsidP="009A6666">
      <w:pPr>
        <w:spacing w:after="103"/>
        <w:ind w:firstLine="851"/>
        <w:jc w:val="both"/>
        <w:rPr>
          <w:rFonts w:ascii="Arial" w:hAnsi="Arial" w:cs="Arial"/>
          <w:b/>
          <w:bCs/>
        </w:rPr>
      </w:pPr>
    </w:p>
    <w:p w14:paraId="293627E3" w14:textId="77777777" w:rsidR="009A6666" w:rsidRPr="009A6666" w:rsidRDefault="009A6666" w:rsidP="009A6666">
      <w:pPr>
        <w:tabs>
          <w:tab w:val="left" w:pos="0"/>
        </w:tabs>
        <w:spacing w:line="360" w:lineRule="auto"/>
        <w:ind w:firstLine="851"/>
        <w:jc w:val="both"/>
        <w:rPr>
          <w:rFonts w:ascii="Arial" w:eastAsia="Arial" w:hAnsi="Arial" w:cs="Arial"/>
        </w:rPr>
      </w:pPr>
      <w:r w:rsidRPr="009A6666">
        <w:rPr>
          <w:rFonts w:ascii="Arial" w:hAnsi="Arial" w:cs="Arial"/>
        </w:rPr>
        <w:t>A Coordenação da Farmácia Hospitalar do Hospital Regional do Sudoeste Walter Alberto Pecoits, no uso de suas atribuições legais e estatutárias, com fundamento no Contrato de Gestão nº 1/2021 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w:t>
      </w:r>
      <w:r w:rsidRPr="009A6666">
        <w:rPr>
          <w:rFonts w:ascii="Arial" w:eastAsia="Times New Roman" w:hAnsi="Arial" w:cs="Arial"/>
          <w:lang w:eastAsia="pt-BR"/>
        </w:rPr>
        <w:t xml:space="preserve"> 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Hospital Regional Centro Oeste (HRCO), Hospital Regional de Ivaiporã (HRIV), Hospital Telêmaco Borba (HRTB) e </w:t>
      </w:r>
      <w:r w:rsidRPr="009A6666">
        <w:rPr>
          <w:rFonts w:ascii="Arial" w:hAnsi="Arial" w:cs="Arial"/>
        </w:rPr>
        <w:t>Hospital Adauto Botelho (HCAB).</w:t>
      </w:r>
    </w:p>
    <w:p w14:paraId="1DA5027D" w14:textId="77777777" w:rsidR="009A6666" w:rsidRPr="009A6666" w:rsidRDefault="009A6666" w:rsidP="009A6666">
      <w:pPr>
        <w:tabs>
          <w:tab w:val="left" w:pos="0"/>
        </w:tabs>
        <w:spacing w:line="360" w:lineRule="auto"/>
        <w:ind w:firstLine="851"/>
        <w:jc w:val="both"/>
        <w:rPr>
          <w:rFonts w:ascii="Arial" w:hAnsi="Arial" w:cs="Arial"/>
        </w:rPr>
      </w:pPr>
      <w:r w:rsidRPr="009A6666">
        <w:rPr>
          <w:rFonts w:ascii="Arial" w:hAnsi="Arial" w:cs="Arial"/>
        </w:rPr>
        <w:t xml:space="preserve">A fundamentação legal está amparada no novo Contrato de Gestão nº 001/2021 vigente desde 01/01/2021, firmado entre a SESA e FUNEAS que estipula a operacionalização da gestão e </w:t>
      </w:r>
      <w:r w:rsidRPr="009A6666">
        <w:rPr>
          <w:rFonts w:ascii="Arial" w:hAnsi="Arial" w:cs="Arial"/>
        </w:rPr>
        <w:lastRenderedPageBreak/>
        <w:t>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de higiene, insumos gerais, entre outros, padronizados ou não nas Unidades, que permitam a execução das ações elencadas no Contrato de Gestão.</w:t>
      </w:r>
    </w:p>
    <w:p w14:paraId="5E5D32C6" w14:textId="77777777" w:rsidR="009A6666" w:rsidRPr="009A6666" w:rsidRDefault="009A6666" w:rsidP="009A6666">
      <w:pPr>
        <w:spacing w:after="103"/>
        <w:ind w:firstLine="851"/>
        <w:jc w:val="both"/>
        <w:rPr>
          <w:rFonts w:ascii="Arial" w:hAnsi="Arial" w:cs="Arial"/>
          <w:b/>
          <w:bCs/>
        </w:rPr>
      </w:pPr>
    </w:p>
    <w:p w14:paraId="3871CD11" w14:textId="77777777" w:rsidR="009A6666" w:rsidRPr="009A6666" w:rsidRDefault="009A6666" w:rsidP="009A6666">
      <w:pPr>
        <w:spacing w:after="103" w:line="360" w:lineRule="auto"/>
        <w:ind w:firstLine="851"/>
        <w:jc w:val="both"/>
        <w:rPr>
          <w:rFonts w:ascii="Arial" w:hAnsi="Arial" w:cs="Arial"/>
          <w:b/>
          <w:bCs/>
        </w:rPr>
      </w:pPr>
      <w:r w:rsidRPr="009A6666">
        <w:rPr>
          <w:rFonts w:ascii="Arial" w:hAnsi="Arial" w:cs="Arial"/>
          <w:b/>
          <w:bCs/>
        </w:rPr>
        <w:t>DA LEGALIDADE</w:t>
      </w:r>
    </w:p>
    <w:p w14:paraId="00D4D7AD"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0062BACE"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 xml:space="preserve">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 In </w:t>
      </w:r>
      <w:proofErr w:type="spellStart"/>
      <w:r w:rsidRPr="009A6666">
        <w:rPr>
          <w:rFonts w:ascii="Arial" w:hAnsi="Arial" w:cs="Arial"/>
        </w:rPr>
        <w:t>verbis</w:t>
      </w:r>
      <w:proofErr w:type="spellEnd"/>
      <w:r w:rsidRPr="009A6666">
        <w:rPr>
          <w:rFonts w:ascii="Arial" w:hAnsi="Arial" w:cs="Arial"/>
        </w:rPr>
        <w:t>:</w:t>
      </w:r>
    </w:p>
    <w:p w14:paraId="65A60E4E" w14:textId="77777777" w:rsidR="009A6666" w:rsidRDefault="009A6666" w:rsidP="009A6666">
      <w:pPr>
        <w:ind w:left="2835"/>
        <w:jc w:val="both"/>
        <w:rPr>
          <w:rFonts w:cs="Arial"/>
          <w:szCs w:val="20"/>
        </w:rPr>
      </w:pPr>
      <w:r w:rsidRPr="009A6666">
        <w:rPr>
          <w:rFonts w:ascii="Arial" w:hAnsi="Arial" w:cs="Arial"/>
          <w:i/>
          <w:sz w:val="18"/>
          <w:szCs w:val="20"/>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r w:rsidRPr="007E088E">
        <w:rPr>
          <w:rFonts w:cs="Arial"/>
          <w:szCs w:val="20"/>
        </w:rPr>
        <w:t>.</w:t>
      </w:r>
    </w:p>
    <w:p w14:paraId="2E7FB2D5" w14:textId="77777777" w:rsidR="009A6666" w:rsidRDefault="009A6666" w:rsidP="009A6666">
      <w:pPr>
        <w:ind w:firstLine="851"/>
        <w:jc w:val="both"/>
        <w:rPr>
          <w:rFonts w:cs="Arial"/>
          <w:szCs w:val="20"/>
        </w:rPr>
      </w:pPr>
    </w:p>
    <w:p w14:paraId="4A1F871E" w14:textId="77777777" w:rsidR="009A6666" w:rsidRPr="009A6666" w:rsidRDefault="009A6666" w:rsidP="009A6666">
      <w:pPr>
        <w:spacing w:after="103" w:line="360" w:lineRule="auto"/>
        <w:ind w:firstLine="851"/>
        <w:jc w:val="both"/>
        <w:rPr>
          <w:rFonts w:ascii="Arial" w:hAnsi="Arial" w:cs="Arial"/>
          <w:szCs w:val="24"/>
        </w:rPr>
      </w:pPr>
      <w:r w:rsidRPr="009A6666">
        <w:rPr>
          <w:rFonts w:ascii="Arial" w:hAnsi="Arial" w:cs="Arial"/>
          <w:szCs w:val="24"/>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368F690F" w14:textId="77777777" w:rsidR="009A6666" w:rsidRPr="009A6666" w:rsidRDefault="009A6666" w:rsidP="009A6666">
      <w:pPr>
        <w:autoSpaceDE w:val="0"/>
        <w:autoSpaceDN w:val="0"/>
        <w:adjustRightInd w:val="0"/>
        <w:ind w:firstLine="851"/>
        <w:rPr>
          <w:rFonts w:ascii="Arial" w:hAnsi="Arial" w:cs="Arial"/>
          <w:szCs w:val="24"/>
        </w:rPr>
      </w:pPr>
      <w:r w:rsidRPr="009A6666">
        <w:rPr>
          <w:rFonts w:ascii="Arial" w:hAnsi="Arial" w:cs="Arial"/>
          <w:szCs w:val="24"/>
        </w:rPr>
        <w:t>Com fundamento no inciso V do art. 24 da Lei Federal nº 8.666/93, que expressa:</w:t>
      </w:r>
    </w:p>
    <w:p w14:paraId="1DA7B4B8" w14:textId="77777777" w:rsidR="009A6666" w:rsidRDefault="009A6666" w:rsidP="009A6666">
      <w:pPr>
        <w:tabs>
          <w:tab w:val="left" w:pos="3119"/>
        </w:tabs>
        <w:autoSpaceDE w:val="0"/>
        <w:autoSpaceDN w:val="0"/>
        <w:adjustRightInd w:val="0"/>
        <w:ind w:firstLine="2835"/>
        <w:rPr>
          <w:rFonts w:ascii="Arial" w:hAnsi="Arial" w:cs="Arial"/>
          <w:szCs w:val="24"/>
        </w:rPr>
      </w:pPr>
    </w:p>
    <w:p w14:paraId="3996C382" w14:textId="5A377C48" w:rsidR="009A6666" w:rsidRPr="009A6666" w:rsidRDefault="009A6666" w:rsidP="009A6666">
      <w:pPr>
        <w:tabs>
          <w:tab w:val="left" w:pos="3119"/>
        </w:tabs>
        <w:autoSpaceDE w:val="0"/>
        <w:autoSpaceDN w:val="0"/>
        <w:adjustRightInd w:val="0"/>
        <w:ind w:firstLine="2835"/>
        <w:rPr>
          <w:rFonts w:ascii="Arial" w:hAnsi="Arial" w:cs="Arial"/>
          <w:szCs w:val="24"/>
        </w:rPr>
      </w:pPr>
      <w:r w:rsidRPr="009A6666">
        <w:rPr>
          <w:rFonts w:ascii="Arial" w:hAnsi="Arial" w:cs="Arial"/>
          <w:szCs w:val="24"/>
        </w:rPr>
        <w:t>Art. 24. É dispensável a licitação:</w:t>
      </w:r>
    </w:p>
    <w:p w14:paraId="41418233" w14:textId="77777777" w:rsidR="009A6666" w:rsidRPr="009A6666" w:rsidRDefault="009A6666" w:rsidP="009A6666">
      <w:pPr>
        <w:autoSpaceDE w:val="0"/>
        <w:autoSpaceDN w:val="0"/>
        <w:adjustRightInd w:val="0"/>
        <w:ind w:firstLine="2835"/>
        <w:rPr>
          <w:rFonts w:ascii="Arial" w:hAnsi="Arial" w:cs="Arial"/>
          <w:i/>
          <w:sz w:val="18"/>
          <w:szCs w:val="18"/>
        </w:rPr>
      </w:pPr>
      <w:r w:rsidRPr="009A6666">
        <w:rPr>
          <w:rFonts w:ascii="Arial" w:hAnsi="Arial" w:cs="Arial"/>
          <w:i/>
          <w:sz w:val="18"/>
          <w:szCs w:val="18"/>
        </w:rPr>
        <w:t xml:space="preserve">(...) </w:t>
      </w:r>
    </w:p>
    <w:p w14:paraId="092CA557" w14:textId="45CCB329" w:rsidR="009A6666" w:rsidRDefault="009A6666" w:rsidP="009A6666">
      <w:pPr>
        <w:autoSpaceDE w:val="0"/>
        <w:autoSpaceDN w:val="0"/>
        <w:adjustRightInd w:val="0"/>
        <w:spacing w:line="360" w:lineRule="auto"/>
        <w:ind w:left="2835"/>
        <w:jc w:val="both"/>
        <w:rPr>
          <w:rFonts w:ascii="Arial" w:hAnsi="Arial" w:cs="Arial"/>
          <w:i/>
          <w:sz w:val="18"/>
          <w:szCs w:val="18"/>
        </w:rPr>
      </w:pPr>
      <w:r w:rsidRPr="009A6666">
        <w:rPr>
          <w:rFonts w:ascii="Arial" w:hAnsi="Arial" w:cs="Arial"/>
          <w:i/>
          <w:sz w:val="18"/>
          <w:szCs w:val="18"/>
        </w:rPr>
        <w:lastRenderedPageBreak/>
        <w:t xml:space="preserve">V - </w:t>
      </w:r>
      <w:proofErr w:type="gramStart"/>
      <w:r w:rsidRPr="009A6666">
        <w:rPr>
          <w:rFonts w:ascii="Arial" w:hAnsi="Arial" w:cs="Arial"/>
          <w:i/>
          <w:sz w:val="18"/>
          <w:szCs w:val="18"/>
        </w:rPr>
        <w:t>quando</w:t>
      </w:r>
      <w:proofErr w:type="gramEnd"/>
      <w:r w:rsidRPr="009A6666">
        <w:rPr>
          <w:rFonts w:ascii="Arial" w:hAnsi="Arial" w:cs="Arial"/>
          <w:i/>
          <w:sz w:val="18"/>
          <w:szCs w:val="18"/>
        </w:rPr>
        <w:t xml:space="preserve"> não acudirem interessados à licitação anterior e está, justificadamente, não puder ser repetida sem prejuízo para a Administração, mantidas, neste caso, todas as condições preestabelecidas;</w:t>
      </w:r>
    </w:p>
    <w:p w14:paraId="59020E33" w14:textId="77777777" w:rsidR="009A6666" w:rsidRPr="009A6666" w:rsidRDefault="009A6666" w:rsidP="009A6666">
      <w:pPr>
        <w:autoSpaceDE w:val="0"/>
        <w:autoSpaceDN w:val="0"/>
        <w:adjustRightInd w:val="0"/>
        <w:spacing w:line="360" w:lineRule="auto"/>
        <w:ind w:left="2835"/>
        <w:jc w:val="both"/>
        <w:rPr>
          <w:rFonts w:ascii="Arial" w:hAnsi="Arial" w:cs="Arial"/>
          <w:i/>
          <w:sz w:val="18"/>
          <w:szCs w:val="18"/>
        </w:rPr>
      </w:pPr>
    </w:p>
    <w:p w14:paraId="0853A474" w14:textId="77777777" w:rsidR="009A6666" w:rsidRPr="009A6666" w:rsidRDefault="009A6666" w:rsidP="009A6666">
      <w:pPr>
        <w:spacing w:line="360" w:lineRule="auto"/>
        <w:ind w:firstLine="851"/>
        <w:jc w:val="both"/>
        <w:rPr>
          <w:rFonts w:ascii="Arial" w:hAnsi="Arial" w:cs="Arial"/>
          <w:szCs w:val="24"/>
        </w:rPr>
      </w:pPr>
      <w:r w:rsidRPr="009A6666">
        <w:rPr>
          <w:rFonts w:ascii="Arial" w:hAnsi="Arial" w:cs="Arial"/>
          <w:szCs w:val="24"/>
        </w:rPr>
        <w:t>Outrossim, no início desse artigo, a lei fala sobre a observância dos princípios de legalidade, impessoalidade, moralidade, publicidade e eficiência, que todo órgão público está sujeito, sendo o caso das unidades hospitalares, geridas pela FUNEAS.</w:t>
      </w:r>
    </w:p>
    <w:p w14:paraId="0BD8B1F0" w14:textId="77777777" w:rsidR="009A6666" w:rsidRPr="009A6666" w:rsidRDefault="009A6666" w:rsidP="009A6666">
      <w:pPr>
        <w:spacing w:line="360" w:lineRule="auto"/>
        <w:ind w:firstLine="851"/>
        <w:jc w:val="both"/>
        <w:rPr>
          <w:rFonts w:ascii="Arial" w:hAnsi="Arial" w:cs="Arial"/>
          <w:szCs w:val="24"/>
        </w:rPr>
      </w:pPr>
      <w:r w:rsidRPr="009A6666">
        <w:rPr>
          <w:rFonts w:ascii="Arial" w:hAnsi="Arial" w:cs="Arial"/>
          <w:szCs w:val="24"/>
        </w:rPr>
        <w:t>Contudo, há aquisições e contratações que possuem caracterizações específicas tornando impossíveis e/ou inviáveis as licitações nos trâmites usuais, frustrando a realização adequada das funções estatais.</w:t>
      </w:r>
    </w:p>
    <w:p w14:paraId="132EF5B8" w14:textId="77777777" w:rsidR="009A6666" w:rsidRPr="009A6666" w:rsidRDefault="009A6666" w:rsidP="009A6666">
      <w:pPr>
        <w:spacing w:line="360" w:lineRule="auto"/>
        <w:ind w:firstLine="851"/>
        <w:jc w:val="both"/>
        <w:rPr>
          <w:rFonts w:ascii="Arial" w:hAnsi="Arial" w:cs="Arial"/>
          <w:b/>
          <w:szCs w:val="24"/>
        </w:rPr>
      </w:pPr>
      <w:r w:rsidRPr="009A6666">
        <w:rPr>
          <w:rFonts w:ascii="Arial" w:hAnsi="Arial" w:cs="Arial"/>
          <w:szCs w:val="24"/>
        </w:rPr>
        <w:t xml:space="preserve">As compras públicas regem-se pela Lei Federal nº 8.666/93, Lei Estadual nº 15.608/2007, Lei Federal nº 10.520/2002, e demais regulamentações, e assim, solicita-se </w:t>
      </w:r>
      <w:r w:rsidRPr="009A6666">
        <w:rPr>
          <w:rFonts w:ascii="Arial" w:hAnsi="Arial" w:cs="Arial"/>
          <w:b/>
          <w:szCs w:val="24"/>
        </w:rPr>
        <w:t xml:space="preserve">Dispensa de Licitação. </w:t>
      </w:r>
    </w:p>
    <w:p w14:paraId="0B9549CC" w14:textId="77777777" w:rsidR="009A6666" w:rsidRPr="009A6666" w:rsidRDefault="009A6666" w:rsidP="009A6666">
      <w:pPr>
        <w:spacing w:line="360" w:lineRule="auto"/>
        <w:ind w:firstLine="851"/>
        <w:jc w:val="both"/>
        <w:rPr>
          <w:rFonts w:ascii="Arial" w:hAnsi="Arial" w:cs="Arial"/>
          <w:szCs w:val="24"/>
        </w:rPr>
      </w:pPr>
      <w:r w:rsidRPr="009A6666">
        <w:rPr>
          <w:rFonts w:ascii="Arial" w:hAnsi="Arial" w:cs="Arial"/>
          <w:szCs w:val="24"/>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2AF2BCA6" w14:textId="77777777" w:rsidR="009A6666" w:rsidRPr="009A6666" w:rsidRDefault="009A6666" w:rsidP="009A6666">
      <w:pPr>
        <w:spacing w:after="103" w:line="360" w:lineRule="auto"/>
        <w:ind w:firstLine="851"/>
        <w:jc w:val="both"/>
        <w:rPr>
          <w:rFonts w:ascii="Arial" w:hAnsi="Arial" w:cs="Arial"/>
          <w:b/>
          <w:bCs/>
          <w:szCs w:val="24"/>
          <w:u w:val="single"/>
        </w:rPr>
      </w:pPr>
      <w:r w:rsidRPr="009A6666">
        <w:rPr>
          <w:rFonts w:ascii="Arial" w:hAnsi="Arial" w:cs="Arial"/>
          <w:szCs w:val="24"/>
          <w:u w:val="single"/>
        </w:rPr>
        <w:t xml:space="preserve">- </w:t>
      </w:r>
      <w:r w:rsidRPr="009A6666">
        <w:rPr>
          <w:rFonts w:ascii="Arial" w:hAnsi="Arial" w:cs="Arial"/>
          <w:b/>
          <w:bCs/>
          <w:szCs w:val="24"/>
          <w:u w:val="single"/>
        </w:rPr>
        <w:t>LICITAÇÃO DESERTA</w:t>
      </w:r>
    </w:p>
    <w:p w14:paraId="42E70990" w14:textId="77777777" w:rsidR="009A6666" w:rsidRPr="009A6666" w:rsidRDefault="009A6666" w:rsidP="009A6666">
      <w:pPr>
        <w:spacing w:after="103" w:line="360" w:lineRule="auto"/>
        <w:ind w:firstLine="851"/>
        <w:jc w:val="both"/>
        <w:rPr>
          <w:rFonts w:ascii="Arial" w:hAnsi="Arial" w:cs="Arial"/>
          <w:szCs w:val="24"/>
        </w:rPr>
      </w:pPr>
      <w:r w:rsidRPr="009A6666">
        <w:rPr>
          <w:rFonts w:ascii="Arial" w:hAnsi="Arial" w:cs="Arial"/>
          <w:szCs w:val="24"/>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3466A79D" w14:textId="77777777" w:rsidR="009A6666" w:rsidRPr="009A6666" w:rsidRDefault="009A6666" w:rsidP="009A6666">
      <w:pPr>
        <w:spacing w:after="103" w:line="360" w:lineRule="auto"/>
        <w:ind w:firstLine="851"/>
        <w:jc w:val="both"/>
        <w:rPr>
          <w:rFonts w:ascii="Arial" w:hAnsi="Arial" w:cs="Arial"/>
          <w:b/>
          <w:bCs/>
          <w:szCs w:val="24"/>
        </w:rPr>
      </w:pPr>
      <w:r w:rsidRPr="009A6666">
        <w:rPr>
          <w:rStyle w:val="hgkelc"/>
          <w:rFonts w:ascii="Arial" w:hAnsi="Arial" w:cs="Arial"/>
          <w:szCs w:val="24"/>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9A6666">
        <w:rPr>
          <w:rFonts w:ascii="Arial" w:hAnsi="Arial" w:cs="Arial"/>
          <w:szCs w:val="24"/>
        </w:rPr>
        <w:t>15.608/2007.</w:t>
      </w:r>
    </w:p>
    <w:p w14:paraId="613904C1" w14:textId="77777777" w:rsidR="009A6666" w:rsidRPr="009A6666" w:rsidRDefault="009A6666" w:rsidP="009A6666">
      <w:pPr>
        <w:spacing w:after="0"/>
        <w:ind w:left="2835"/>
        <w:jc w:val="both"/>
        <w:rPr>
          <w:rFonts w:ascii="Arial" w:hAnsi="Arial" w:cs="Arial"/>
          <w:bCs/>
          <w:i/>
          <w:sz w:val="18"/>
          <w:szCs w:val="18"/>
        </w:rPr>
      </w:pPr>
      <w:r w:rsidRPr="009A6666">
        <w:rPr>
          <w:rFonts w:ascii="Arial" w:hAnsi="Arial" w:cs="Arial"/>
          <w:bCs/>
          <w:i/>
          <w:sz w:val="18"/>
          <w:szCs w:val="18"/>
        </w:rPr>
        <w:t xml:space="preserve">Jorge Ulisses </w:t>
      </w:r>
      <w:proofErr w:type="spellStart"/>
      <w:r w:rsidRPr="009A6666">
        <w:rPr>
          <w:rFonts w:ascii="Arial" w:hAnsi="Arial" w:cs="Arial"/>
          <w:bCs/>
          <w:i/>
          <w:sz w:val="18"/>
          <w:szCs w:val="18"/>
        </w:rPr>
        <w:t>Jacoby</w:t>
      </w:r>
      <w:proofErr w:type="spellEnd"/>
      <w:r w:rsidRPr="009A6666">
        <w:rPr>
          <w:rFonts w:ascii="Arial" w:hAnsi="Arial" w:cs="Arial"/>
          <w:bCs/>
          <w:i/>
          <w:sz w:val="18"/>
          <w:szCs w:val="18"/>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9A6666">
        <w:rPr>
          <w:rFonts w:ascii="Arial" w:hAnsi="Arial" w:cs="Arial"/>
          <w:bCs/>
          <w:i/>
          <w:sz w:val="18"/>
          <w:szCs w:val="18"/>
        </w:rPr>
        <w:t>Niebuhr</w:t>
      </w:r>
      <w:proofErr w:type="spellEnd"/>
      <w:r w:rsidRPr="009A6666">
        <w:rPr>
          <w:rFonts w:ascii="Arial" w:hAnsi="Arial" w:cs="Arial"/>
          <w:bCs/>
          <w:i/>
          <w:sz w:val="18"/>
          <w:szCs w:val="18"/>
        </w:rPr>
        <w:t>):</w:t>
      </w:r>
    </w:p>
    <w:p w14:paraId="63784E55" w14:textId="77777777" w:rsidR="009A6666" w:rsidRPr="009A6666" w:rsidRDefault="009A6666" w:rsidP="009A6666">
      <w:pPr>
        <w:spacing w:after="0"/>
        <w:ind w:left="2835"/>
        <w:jc w:val="both"/>
        <w:rPr>
          <w:rFonts w:ascii="Arial" w:hAnsi="Arial" w:cs="Arial"/>
          <w:bCs/>
          <w:i/>
          <w:sz w:val="18"/>
          <w:szCs w:val="18"/>
        </w:rPr>
      </w:pPr>
      <w:r w:rsidRPr="009A6666">
        <w:rPr>
          <w:rFonts w:ascii="Arial" w:hAnsi="Arial" w:cs="Arial"/>
          <w:bCs/>
          <w:i/>
          <w:sz w:val="18"/>
          <w:szCs w:val="18"/>
        </w:rPr>
        <w:t>“a) inciso V:</w:t>
      </w:r>
    </w:p>
    <w:p w14:paraId="1961F423" w14:textId="77777777" w:rsidR="009A6666" w:rsidRPr="009A6666" w:rsidRDefault="009A6666" w:rsidP="009A6666">
      <w:pPr>
        <w:spacing w:after="0"/>
        <w:ind w:left="2835"/>
        <w:jc w:val="both"/>
        <w:rPr>
          <w:rFonts w:ascii="Arial" w:hAnsi="Arial" w:cs="Arial"/>
          <w:bCs/>
          <w:i/>
          <w:sz w:val="18"/>
          <w:szCs w:val="18"/>
        </w:rPr>
      </w:pPr>
      <w:r w:rsidRPr="009A6666">
        <w:rPr>
          <w:rFonts w:ascii="Arial" w:hAnsi="Arial" w:cs="Arial"/>
          <w:bCs/>
          <w:i/>
          <w:sz w:val="18"/>
          <w:szCs w:val="18"/>
        </w:rPr>
        <w:lastRenderedPageBreak/>
        <w:t>– A licitação foi fracassada, não importando a causa da desclassificação: preços superiores, inferiores, inabilitação, etc.;</w:t>
      </w:r>
    </w:p>
    <w:p w14:paraId="5DDFB3B6" w14:textId="77777777" w:rsidR="009A6666" w:rsidRPr="009A6666" w:rsidRDefault="009A6666" w:rsidP="009A6666">
      <w:pPr>
        <w:spacing w:after="0"/>
        <w:ind w:left="2835"/>
        <w:jc w:val="both"/>
        <w:rPr>
          <w:rFonts w:ascii="Arial" w:hAnsi="Arial" w:cs="Arial"/>
          <w:bCs/>
          <w:i/>
          <w:sz w:val="18"/>
          <w:szCs w:val="18"/>
        </w:rPr>
      </w:pPr>
      <w:r w:rsidRPr="009A6666">
        <w:rPr>
          <w:rFonts w:ascii="Arial" w:hAnsi="Arial" w:cs="Arial"/>
          <w:bCs/>
          <w:i/>
          <w:sz w:val="18"/>
          <w:szCs w:val="18"/>
        </w:rPr>
        <w:t>– Há risco de prejuízo na repetição da licitação;</w:t>
      </w:r>
    </w:p>
    <w:p w14:paraId="69FE3484" w14:textId="77777777" w:rsidR="009A6666" w:rsidRPr="009A6666" w:rsidRDefault="009A6666" w:rsidP="009A6666">
      <w:pPr>
        <w:spacing w:after="0"/>
        <w:ind w:left="2835"/>
        <w:jc w:val="both"/>
        <w:rPr>
          <w:rFonts w:ascii="Arial" w:hAnsi="Arial" w:cs="Arial"/>
          <w:bCs/>
          <w:i/>
          <w:sz w:val="18"/>
          <w:szCs w:val="18"/>
        </w:rPr>
      </w:pPr>
      <w:r w:rsidRPr="009A6666">
        <w:rPr>
          <w:rFonts w:ascii="Arial" w:hAnsi="Arial" w:cs="Arial"/>
          <w:bCs/>
          <w:i/>
          <w:sz w:val="18"/>
          <w:szCs w:val="18"/>
        </w:rPr>
        <w:t>– Não é obrigatório pedir novas propostas.</w:t>
      </w:r>
    </w:p>
    <w:p w14:paraId="58319F44" w14:textId="77777777" w:rsidR="009A6666" w:rsidRDefault="009A6666" w:rsidP="009A6666">
      <w:pPr>
        <w:spacing w:after="0"/>
        <w:ind w:left="2835"/>
        <w:jc w:val="both"/>
        <w:rPr>
          <w:rFonts w:cs="Arial"/>
          <w:bCs/>
          <w:sz w:val="18"/>
          <w:szCs w:val="18"/>
        </w:rPr>
      </w:pPr>
      <w:r w:rsidRPr="009A6666">
        <w:rPr>
          <w:rFonts w:ascii="Arial" w:hAnsi="Arial" w:cs="Arial"/>
          <w:bCs/>
          <w:i/>
          <w:sz w:val="18"/>
          <w:szCs w:val="18"/>
        </w:rPr>
        <w:t xml:space="preserve"> Fonte:  ( APUD: JOHNSTON BARBOSA ARAUJO, ALDEM: Contratações Motivadas por licitações desertas e fracassadas; Âmbito Jurídico, link: </w:t>
      </w:r>
      <w:hyperlink r:id="rId8" w:history="1">
        <w:r w:rsidRPr="009A6666">
          <w:rPr>
            <w:rStyle w:val="Hyperlink"/>
            <w:rFonts w:ascii="Arial" w:hAnsi="Arial" w:cs="Arial"/>
            <w:bCs/>
            <w:i/>
            <w:sz w:val="18"/>
            <w:szCs w:val="18"/>
          </w:rPr>
          <w:t>https://ambitojuridico.com.br/cadernos/direito-administrativo/contratacoes-motivadas-por-licitacoes-desertas-e-fracassadas/</w:t>
        </w:r>
      </w:hyperlink>
      <w:r w:rsidRPr="009A6666">
        <w:rPr>
          <w:rFonts w:ascii="Arial" w:hAnsi="Arial" w:cs="Arial"/>
          <w:bCs/>
          <w:i/>
          <w:sz w:val="18"/>
          <w:szCs w:val="18"/>
        </w:rPr>
        <w:t>.)</w:t>
      </w:r>
    </w:p>
    <w:p w14:paraId="63771B16" w14:textId="56FF9721" w:rsidR="009A6666" w:rsidRPr="009A6666" w:rsidRDefault="009A6666" w:rsidP="009A6666">
      <w:pPr>
        <w:spacing w:after="103" w:line="360" w:lineRule="auto"/>
        <w:ind w:firstLine="851"/>
        <w:jc w:val="both"/>
        <w:rPr>
          <w:rFonts w:ascii="Arial" w:hAnsi="Arial" w:cs="Arial"/>
          <w:b/>
          <w:bCs/>
        </w:rPr>
      </w:pPr>
      <w:r w:rsidRPr="00652CCC">
        <w:rPr>
          <w:rFonts w:cs="Arial"/>
          <w:sz w:val="24"/>
          <w:szCs w:val="24"/>
        </w:rPr>
        <w:t xml:space="preserve"> </w:t>
      </w:r>
      <w:r w:rsidRPr="009A6666">
        <w:rPr>
          <w:rFonts w:ascii="Arial" w:hAnsi="Arial" w:cs="Arial"/>
          <w:b/>
          <w:bCs/>
        </w:rPr>
        <w:t>DO INTERESSE PÚBLICO</w:t>
      </w:r>
    </w:p>
    <w:p w14:paraId="6B56F581" w14:textId="77777777" w:rsidR="009A6666" w:rsidRPr="009A6666" w:rsidRDefault="009A6666" w:rsidP="009A6666">
      <w:pPr>
        <w:spacing w:line="360" w:lineRule="auto"/>
        <w:ind w:firstLine="851"/>
        <w:jc w:val="both"/>
        <w:rPr>
          <w:rFonts w:ascii="Arial" w:hAnsi="Arial" w:cs="Arial"/>
          <w:b/>
          <w:bCs/>
        </w:rPr>
      </w:pPr>
      <w:r w:rsidRPr="009A6666">
        <w:rPr>
          <w:rFonts w:ascii="Arial" w:hAnsi="Arial" w:cs="Arial"/>
        </w:rPr>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a fim de atender todos os pacientes de forma integral, levando em conta o quadro clínico e/ou patologia, conforme avaliação médica.</w:t>
      </w:r>
    </w:p>
    <w:p w14:paraId="021556E5"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contratação visa atender todas estas unidades, de modo a suprir suas demandas de acordo com o perfil de atendimento, conforme relacionado abaixo:</w:t>
      </w:r>
    </w:p>
    <w:p w14:paraId="07B33A94"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 xml:space="preserve">A </w:t>
      </w:r>
      <w:r w:rsidRPr="009A6666">
        <w:rPr>
          <w:rFonts w:ascii="Arial" w:hAnsi="Arial" w:cs="Arial"/>
          <w:b/>
          <w:bCs/>
        </w:rPr>
        <w:t>Fundação Estatal de Atenção em Saúde do Estado do Paraná - FUNEAS</w:t>
      </w:r>
      <w:r w:rsidRPr="009A6666">
        <w:rPr>
          <w:rFonts w:ascii="Arial" w:hAnsi="Arial" w:cs="Arial"/>
        </w:rPr>
        <w:t>, é uma fundação pública com personalidade jurídica de direito privado, sem fins lucrativos, de beneficência social, de interesse e de utilidade públicos regida por seu estatuto e pela Lei Estadual nº 17.959, de 11 de março de 2014. Integra a Administração Pública Indireta do Estado do Paraná vinculada à Secretaria de Estado da Saúde para efeito de supervisão e fiscalização de suas finalidades. Tem por finalidade desenvolver e executar ações e serviços de saúde nas unidades próprias da Secretaria de Estado da Saúde.</w:t>
      </w:r>
    </w:p>
    <w:p w14:paraId="48AC8EF0"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 xml:space="preserve">O </w:t>
      </w:r>
      <w:r w:rsidRPr="009A6666">
        <w:rPr>
          <w:rFonts w:ascii="Arial" w:hAnsi="Arial" w:cs="Arial"/>
          <w:b/>
          <w:bCs/>
        </w:rPr>
        <w:t>Hospital Infantil Waldemar Monastier - HIWM</w:t>
      </w:r>
      <w:r w:rsidRPr="009A6666">
        <w:rPr>
          <w:rFonts w:ascii="Arial" w:hAnsi="Arial" w:cs="Arial"/>
        </w:rPr>
        <w:t xml:space="preserve"> é uma instituição pública de saúde, especializado no atendimento de média e alta complexidade, de crianças e adolescentes, totalmente voltados para atendimento dos usuários do Sistema Único de Saúde (SUS). Integra a rede de hospitais públicos, constituída pelo Governo do Estado do Paraná e mantida com recursos provenientes do orçamento estadual, administrado pela Fundação Estatal de Atenção em Saúde do Estado do Paraná – FUNEAS. </w:t>
      </w:r>
    </w:p>
    <w:p w14:paraId="7AE97FEB"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lastRenderedPageBreak/>
        <w:t xml:space="preserve">O </w:t>
      </w:r>
      <w:r w:rsidRPr="009A6666">
        <w:rPr>
          <w:rFonts w:ascii="Arial" w:hAnsi="Arial" w:cs="Arial"/>
          <w:b/>
          <w:bCs/>
        </w:rPr>
        <w:t>Hospital Regional do Norte Pioneiro – HRNP</w:t>
      </w:r>
      <w:r w:rsidRPr="009A6666">
        <w:rPr>
          <w:rFonts w:ascii="Arial" w:hAnsi="Arial" w:cs="Arial"/>
        </w:rPr>
        <w:t xml:space="preserve"> exerce as atividades de atendimento médico hospitalar abrangendo os 22 municípios do Norte Pioneiro dentre as áreas de Maternidade, Obstetrícia, Ortopedia, atualmente com UTI NEONATAL e UTI exclusiva para atendimento de COVID-19, possuindo 97 leitos, e retomando as atividades de cirurgias eletivas. A Escola de saúde Pública do Paraná ESPP é uma unidade com prioridades no investimento na formação e qualificação dos profissionais para o SUS. </w:t>
      </w:r>
    </w:p>
    <w:p w14:paraId="6ADD5F4B"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 xml:space="preserve">O </w:t>
      </w:r>
      <w:r w:rsidRPr="009A6666">
        <w:rPr>
          <w:rFonts w:ascii="Arial" w:hAnsi="Arial" w:cs="Arial"/>
          <w:b/>
          <w:bCs/>
        </w:rPr>
        <w:t xml:space="preserve">Hospital Regional do Sudoeste – HRS </w:t>
      </w:r>
      <w:r w:rsidRPr="009A6666">
        <w:rPr>
          <w:rFonts w:ascii="Arial" w:hAnsi="Arial" w:cs="Arial"/>
        </w:rPr>
        <w:t xml:space="preserve">é Unidade estratégica para Atendimento ao Enfrentamento da COVID19 para pacientes graves e moderados. Esta Unidade Hospitalar possui em se tratando de leitos ativos, 10 leitos de UTI Adulto, 10 leitos de UTI Neonatal, 5 leitos de UCI Neonatal, 4 leitos de Suporte Avançado de Vida Neonatal e 9 leitos de Suporte Avançado de Vida Adulto e 72 leitos entre clínicos e cirúrgicos. Os leitos são 100% regulados pela Central Estadual de Regulação, através do Sistema GSUS e referência para as emergências do Corpo de Bombeiros e SAMU. Assim, esta unidade hospitalar, que atualmente conta com 150 leitos ativos, sendo que destes 53 são de cuidados intensivos, é referência para 42 municípios (sendo estes os 15 municípios da 7ª Regional e os 27 municípios da 8ª Regional de Saúde) da região Sudoeste do Paraná no atendimento de COVID-19, traumas, cirurgia vascular, gestação de risco intermediário e alto risco, UTI Neonatal e UTI Adulto, Cirurgia Pediátrica, Urologia, </w:t>
      </w:r>
      <w:proofErr w:type="spellStart"/>
      <w:r w:rsidRPr="009A6666">
        <w:rPr>
          <w:rFonts w:ascii="Arial" w:hAnsi="Arial" w:cs="Arial"/>
        </w:rPr>
        <w:t>Bucomaxilo</w:t>
      </w:r>
      <w:proofErr w:type="spellEnd"/>
      <w:r w:rsidRPr="009A6666">
        <w:rPr>
          <w:rFonts w:ascii="Arial" w:hAnsi="Arial" w:cs="Arial"/>
        </w:rPr>
        <w:t xml:space="preserve">, e ainda sendo referência incontestável para SAMU, SIATE e Complexo Regulador Estadual Macro Oeste, contemplando aproximadamente 600.000 habitantes. </w:t>
      </w:r>
    </w:p>
    <w:p w14:paraId="12C348E7"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 xml:space="preserve">O </w:t>
      </w:r>
      <w:r w:rsidRPr="009A6666">
        <w:rPr>
          <w:rFonts w:ascii="Arial" w:hAnsi="Arial" w:cs="Arial"/>
          <w:b/>
          <w:bCs/>
        </w:rPr>
        <w:t>Hospital Regional do Centro Oeste - HRCO</w:t>
      </w:r>
      <w:r w:rsidRPr="009A6666">
        <w:rPr>
          <w:rFonts w:ascii="Arial" w:hAnsi="Arial" w:cs="Arial"/>
        </w:rPr>
        <w:t xml:space="preserve">, é uma unidade própria da Secretaria de Estado da Saúde, com atendimento exclusivo aos Usuários do SUS, com quadro compatível com a infecção por </w:t>
      </w:r>
      <w:proofErr w:type="spellStart"/>
      <w:r w:rsidRPr="009A6666">
        <w:rPr>
          <w:rFonts w:ascii="Arial" w:hAnsi="Arial" w:cs="Arial"/>
        </w:rPr>
        <w:t>coronavírus</w:t>
      </w:r>
      <w:proofErr w:type="spellEnd"/>
      <w:r w:rsidRPr="009A6666">
        <w:rPr>
          <w:rFonts w:ascii="Arial" w:hAnsi="Arial" w:cs="Arial"/>
        </w:rPr>
        <w:t xml:space="preserve"> – COVID -19, com capacidade operacional de 40 leitos de UTI Adulto, 80 leitos de enfermaria clínica e capacidade operacional máxima. A unidade passa assumir um perfil assistencial de média complexidade destinado ao atendimento como Hospital Geral referência a Ortopedia e Trauma, cirurgia geral e internações clínicas.</w:t>
      </w:r>
    </w:p>
    <w:p w14:paraId="68D07040"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 xml:space="preserve">O </w:t>
      </w:r>
      <w:r w:rsidRPr="009A6666">
        <w:rPr>
          <w:rFonts w:ascii="Arial" w:hAnsi="Arial" w:cs="Arial"/>
          <w:b/>
          <w:bCs/>
        </w:rPr>
        <w:t>Hospital Regional de Ivaiporã - HRIV</w:t>
      </w:r>
      <w:r w:rsidRPr="009A6666">
        <w:rPr>
          <w:rFonts w:ascii="Arial" w:hAnsi="Arial" w:cs="Arial"/>
        </w:rPr>
        <w:t xml:space="preserve">, é uma unidade própria de Secretaria de Estado da Saúde, atualmente ativo como hospital campanha para COVID-19, como foco exclusivo ao Usuários do SUS, objetivando inicialmente manter o perfil descrito, dependendo do perfil epidemiológico, para assegurar o quantitativo de leitos a serem ativos, configurando 20 leitos de UTI adulto e 60 leitos de enfermaria clínica com capacidade operacional máxima. A unidade passará a assumir um perfil assistencial de média complexidade ao qual se destina atendimento como Hospital Geral, sendo referência no foco na saúde do idoso, cuidados continuados, clínica médica e cirurgia eletiva. </w:t>
      </w:r>
    </w:p>
    <w:p w14:paraId="1F6F3925"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lastRenderedPageBreak/>
        <w:t xml:space="preserve">O </w:t>
      </w:r>
      <w:r w:rsidRPr="009A6666">
        <w:rPr>
          <w:rFonts w:ascii="Arial" w:hAnsi="Arial" w:cs="Arial"/>
          <w:b/>
          <w:bCs/>
        </w:rPr>
        <w:t>Hospital Regional de Telêmaco Borba - HRTB</w:t>
      </w:r>
      <w:r w:rsidRPr="009A6666">
        <w:rPr>
          <w:rFonts w:ascii="Arial" w:hAnsi="Arial" w:cs="Arial"/>
        </w:rPr>
        <w:t xml:space="preserve">, é uma unidade própria da Secretaria de Estado da Saúde e atualmente está ativo como hospital de campanha para COVID-19, foco no atendimento exclusivo aos Usuários do SUS, sendo referência à média complexidade para internações clínicas, com capacidade operacional de 30 leitos de UTI adulto, 60 leitos de enfermaria clínica, 1 sala cirúrgica e sala de acolhimento, com capacidade operacional máxima. A Unidade passará a assumir perfil assistencial de média complexidade ao qual se destina ao atendimento como Hospital Geral Materno Infantil de Alto Risco. </w:t>
      </w:r>
    </w:p>
    <w:p w14:paraId="08EFF784"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 xml:space="preserve">O </w:t>
      </w:r>
      <w:r w:rsidRPr="009A6666">
        <w:rPr>
          <w:rFonts w:ascii="Arial" w:hAnsi="Arial" w:cs="Arial"/>
          <w:b/>
          <w:bCs/>
        </w:rPr>
        <w:t>Hospital Colônia Adauto Botelho</w:t>
      </w:r>
      <w:r w:rsidRPr="009A6666">
        <w:rPr>
          <w:rFonts w:ascii="Arial" w:hAnsi="Arial" w:cs="Arial"/>
        </w:rPr>
        <w:t xml:space="preserve"> </w:t>
      </w:r>
      <w:r w:rsidRPr="009A6666">
        <w:rPr>
          <w:rFonts w:ascii="Arial" w:hAnsi="Arial" w:cs="Arial"/>
          <w:b/>
          <w:bCs/>
        </w:rPr>
        <w:t>- HCAB</w:t>
      </w:r>
      <w:r w:rsidRPr="009A6666">
        <w:rPr>
          <w:rFonts w:ascii="Arial" w:hAnsi="Arial" w:cs="Arial"/>
        </w:rPr>
        <w:t xml:space="preserve"> é uma unidade própria de Secretaria de Estado da Saúde, localizado no município de Pinhais, atualmente ativo como Hospital Especializado com referência em psiquiatria, perfil assistencial de baixa complexidade, configurando com 160 leitos cadastrados no CNES, com 70 leitos ativos. </w:t>
      </w:r>
    </w:p>
    <w:p w14:paraId="78F749D5" w14:textId="77777777" w:rsidR="009A6666" w:rsidRPr="009A6666" w:rsidRDefault="009A6666" w:rsidP="009A6666">
      <w:pPr>
        <w:spacing w:line="360" w:lineRule="auto"/>
        <w:ind w:firstLine="1247"/>
        <w:jc w:val="both"/>
        <w:rPr>
          <w:rFonts w:ascii="Arial" w:hAnsi="Arial" w:cs="Arial"/>
        </w:rPr>
      </w:pPr>
      <w:r w:rsidRPr="009A6666">
        <w:rPr>
          <w:rFonts w:ascii="Arial" w:hAnsi="Arial" w:cs="Arial"/>
        </w:rPr>
        <w:t xml:space="preserve">Por fim, esta contratação visa atender as </w:t>
      </w:r>
      <w:r w:rsidRPr="009A6666">
        <w:rPr>
          <w:rStyle w:val="hgkelc"/>
          <w:rFonts w:ascii="Arial" w:hAnsi="Arial" w:cs="Arial"/>
        </w:rPr>
        <w:t>necessidades dos pacientes, buscando a manutenção da integridade e segurança destes</w:t>
      </w:r>
      <w:r w:rsidRPr="009A6666">
        <w:rPr>
          <w:rFonts w:ascii="Arial" w:hAnsi="Arial" w:cs="Arial"/>
        </w:rPr>
        <w:t>, de forma a garantir a eficiência e efetividade dos serviços oferecidos usuários do SUS – Sistema Único de Saúde – no estado do Paraná.</w:t>
      </w:r>
    </w:p>
    <w:p w14:paraId="41D86A23" w14:textId="77777777" w:rsidR="009A6666" w:rsidRPr="009A6666" w:rsidRDefault="009A6666" w:rsidP="009A6666">
      <w:pPr>
        <w:spacing w:line="360" w:lineRule="auto"/>
        <w:ind w:firstLine="1247"/>
        <w:jc w:val="both"/>
        <w:rPr>
          <w:rFonts w:ascii="Arial" w:hAnsi="Arial" w:cs="Arial"/>
        </w:rPr>
      </w:pPr>
      <w:r w:rsidRPr="009A6666">
        <w:rPr>
          <w:rFonts w:ascii="Arial" w:hAnsi="Arial" w:cs="Arial"/>
        </w:rPr>
        <w:t>Na ausência destes medicamentos, os Hospitais ficam fragilizados de condições técnicas para a realização dos serviços supracitados e, por consequência, no atendimento aos pacientes, contribuindo assim, de forma direta para a eminência de risco a segurança dos mesmos.</w:t>
      </w:r>
    </w:p>
    <w:p w14:paraId="266CA100" w14:textId="77777777" w:rsidR="009A6666" w:rsidRPr="009A6666" w:rsidRDefault="009A6666" w:rsidP="009A6666">
      <w:pPr>
        <w:spacing w:after="103" w:line="360" w:lineRule="auto"/>
        <w:ind w:firstLine="851"/>
        <w:jc w:val="both"/>
        <w:rPr>
          <w:rFonts w:ascii="Arial" w:hAnsi="Arial" w:cs="Arial"/>
        </w:rPr>
      </w:pPr>
    </w:p>
    <w:p w14:paraId="30694023" w14:textId="77777777" w:rsidR="009A6666" w:rsidRPr="009A6666" w:rsidRDefault="009A6666" w:rsidP="009A6666">
      <w:pPr>
        <w:spacing w:after="103" w:line="360" w:lineRule="auto"/>
        <w:ind w:firstLine="851"/>
        <w:jc w:val="both"/>
        <w:rPr>
          <w:rFonts w:ascii="Arial" w:hAnsi="Arial" w:cs="Arial"/>
          <w:b/>
          <w:bCs/>
        </w:rPr>
      </w:pPr>
      <w:r w:rsidRPr="009A6666">
        <w:rPr>
          <w:rFonts w:ascii="Arial" w:hAnsi="Arial" w:cs="Arial"/>
          <w:b/>
          <w:bCs/>
        </w:rPr>
        <w:t>DOS BENEFÍCIOS</w:t>
      </w:r>
    </w:p>
    <w:p w14:paraId="50CE4EF6" w14:textId="77777777" w:rsidR="009A6666" w:rsidRPr="009A6666" w:rsidRDefault="009A6666" w:rsidP="009A6666">
      <w:pPr>
        <w:spacing w:after="103" w:line="360" w:lineRule="auto"/>
        <w:ind w:firstLine="851"/>
        <w:jc w:val="both"/>
        <w:rPr>
          <w:rFonts w:ascii="Arial" w:hAnsi="Arial" w:cs="Arial"/>
        </w:rPr>
      </w:pPr>
      <w:r w:rsidRPr="009A6666">
        <w:rPr>
          <w:rFonts w:ascii="Arial" w:hAnsi="Arial" w:cs="Arial"/>
        </w:rPr>
        <w:t>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15B821D0"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Considerando que a assistência em saúde é garantida pelo Sistema Único de Saúde (SUS), e para isto os medicamentos padronizados nas Unidades devem estar disponíveis para os tratamentos farmacológicos.</w:t>
      </w:r>
    </w:p>
    <w:p w14:paraId="53F5F85C"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t xml:space="preserve"> Considerando as classes farmacológicas presente neste processo, utilizadas para a execução dos procedimentos, ou seja, impactando diretamente na segurança e tratamento do paciente.</w:t>
      </w:r>
    </w:p>
    <w:p w14:paraId="1E45CC6C" w14:textId="77777777" w:rsidR="009A6666" w:rsidRPr="009A6666" w:rsidRDefault="009A6666" w:rsidP="009A6666">
      <w:pPr>
        <w:tabs>
          <w:tab w:val="left" w:pos="3001"/>
        </w:tabs>
        <w:spacing w:line="360" w:lineRule="auto"/>
        <w:ind w:firstLine="1276"/>
        <w:jc w:val="both"/>
        <w:rPr>
          <w:rFonts w:ascii="Arial" w:hAnsi="Arial" w:cs="Arial"/>
        </w:rPr>
      </w:pPr>
      <w:r w:rsidRPr="009A6666">
        <w:rPr>
          <w:rFonts w:ascii="Arial" w:hAnsi="Arial" w:cs="Arial"/>
        </w:rPr>
        <w:t xml:space="preserve">Os quantitativos foram definidos por cada Unidade hospitalar, repassados através do preenchimento da planilha encaminhada para as Unidades, onde cada farmacêutico realizou o preenchimento com os quantitativos, extraídos de acordo com os relatórios de consumo médio </w:t>
      </w:r>
      <w:r w:rsidRPr="009A6666">
        <w:rPr>
          <w:rFonts w:ascii="Arial" w:hAnsi="Arial" w:cs="Arial"/>
        </w:rPr>
        <w:lastRenderedPageBreak/>
        <w:t>mensal (C.M.M), sazonalidade e ponto de ressuprimento. Os itens e os quantitativos para as Unidades Hospital Regional de Telêmaco Borba, Hospital Regional de Guarapuava e Hospital Regional de Ivaiporã, foram definidos pela Diretoria Técnica, de acordo com modelo da Unidade FUNEAS Hospital Regional do Norte Pioneiro - HRNP, segundo os relatórios de Consumo Médio Mensal (C.M.M.), estoque atual, sazonalidade, e informações do sistema GSUS.</w:t>
      </w:r>
    </w:p>
    <w:p w14:paraId="40CEC471" w14:textId="139C0332" w:rsidR="009A6666" w:rsidRDefault="009A6666" w:rsidP="009A6666">
      <w:pPr>
        <w:pStyle w:val="PargrafodaLista"/>
        <w:numPr>
          <w:ilvl w:val="0"/>
          <w:numId w:val="27"/>
        </w:numPr>
        <w:suppressAutoHyphens w:val="0"/>
        <w:spacing w:line="360" w:lineRule="auto"/>
        <w:jc w:val="both"/>
        <w:rPr>
          <w:rFonts w:ascii="Arial" w:hAnsi="Arial" w:cs="Arial"/>
          <w:sz w:val="22"/>
          <w:szCs w:val="22"/>
        </w:rPr>
      </w:pPr>
      <w:r w:rsidRPr="009A6666">
        <w:rPr>
          <w:rFonts w:ascii="Arial" w:hAnsi="Arial" w:cs="Arial"/>
          <w:b/>
          <w:sz w:val="22"/>
          <w:szCs w:val="22"/>
        </w:rPr>
        <w:t>Ciclopentolato, Cloridrato, 10 mg/ml, Solução oftálmica:</w:t>
      </w:r>
      <w:r w:rsidRPr="009A6666">
        <w:rPr>
          <w:rFonts w:ascii="Arial" w:hAnsi="Arial" w:cs="Arial"/>
          <w:sz w:val="22"/>
          <w:szCs w:val="22"/>
        </w:rPr>
        <w:t xml:space="preserve"> é um agente anticolinérgico, que bloqueia a resposta dos músculos do esfíncter da íris e do corpo ciliar à estimulação colinérgica, produzindo dilatação pupilar (midríase) e paralisia da acomodação (</w:t>
      </w:r>
      <w:proofErr w:type="spellStart"/>
      <w:r w:rsidRPr="009A6666">
        <w:rPr>
          <w:rFonts w:ascii="Arial" w:hAnsi="Arial" w:cs="Arial"/>
          <w:sz w:val="22"/>
          <w:szCs w:val="22"/>
        </w:rPr>
        <w:t>cicloplegia</w:t>
      </w:r>
      <w:proofErr w:type="spellEnd"/>
      <w:r w:rsidRPr="009A6666">
        <w:rPr>
          <w:rFonts w:ascii="Arial" w:hAnsi="Arial" w:cs="Arial"/>
          <w:sz w:val="22"/>
          <w:szCs w:val="22"/>
        </w:rPr>
        <w:t xml:space="preserve">). É usado topicamente em oftalmologia como agente </w:t>
      </w:r>
      <w:proofErr w:type="spellStart"/>
      <w:r w:rsidRPr="009A6666">
        <w:rPr>
          <w:rFonts w:ascii="Arial" w:hAnsi="Arial" w:cs="Arial"/>
          <w:sz w:val="22"/>
          <w:szCs w:val="22"/>
        </w:rPr>
        <w:t>cicloplégico</w:t>
      </w:r>
      <w:proofErr w:type="spellEnd"/>
      <w:r w:rsidRPr="009A6666">
        <w:rPr>
          <w:rFonts w:ascii="Arial" w:hAnsi="Arial" w:cs="Arial"/>
          <w:sz w:val="22"/>
          <w:szCs w:val="22"/>
        </w:rPr>
        <w:t xml:space="preserve"> e midriático para auxiliar na refração, exames oculares e outros diagnósticos.</w:t>
      </w:r>
    </w:p>
    <w:p w14:paraId="633362A3" w14:textId="77777777" w:rsidR="009A6666" w:rsidRPr="009A6666" w:rsidRDefault="009A6666" w:rsidP="009A6666">
      <w:pPr>
        <w:pStyle w:val="PargrafodaLista"/>
        <w:suppressAutoHyphens w:val="0"/>
        <w:spacing w:line="360" w:lineRule="auto"/>
        <w:ind w:left="720"/>
        <w:jc w:val="both"/>
        <w:rPr>
          <w:rFonts w:ascii="Arial" w:hAnsi="Arial" w:cs="Arial"/>
          <w:sz w:val="22"/>
          <w:szCs w:val="22"/>
        </w:rPr>
      </w:pPr>
    </w:p>
    <w:tbl>
      <w:tblPr>
        <w:tblStyle w:val="Tabelacomgrade"/>
        <w:tblW w:w="9639" w:type="dxa"/>
        <w:tblInd w:w="-5" w:type="dxa"/>
        <w:tblLayout w:type="fixed"/>
        <w:tblLook w:val="04A0" w:firstRow="1" w:lastRow="0" w:firstColumn="1" w:lastColumn="0" w:noHBand="0" w:noVBand="1"/>
      </w:tblPr>
      <w:tblGrid>
        <w:gridCol w:w="757"/>
        <w:gridCol w:w="756"/>
        <w:gridCol w:w="756"/>
        <w:gridCol w:w="2899"/>
        <w:gridCol w:w="1949"/>
        <w:gridCol w:w="1094"/>
        <w:gridCol w:w="1428"/>
      </w:tblGrid>
      <w:tr w:rsidR="009A6666" w14:paraId="33D3AA92" w14:textId="77777777" w:rsidTr="00687397">
        <w:trPr>
          <w:cantSplit/>
          <w:trHeight w:val="1134"/>
        </w:trPr>
        <w:tc>
          <w:tcPr>
            <w:tcW w:w="506" w:type="dxa"/>
            <w:textDirection w:val="btLr"/>
            <w:vAlign w:val="center"/>
          </w:tcPr>
          <w:p w14:paraId="5752FA7E"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2</w:t>
            </w:r>
          </w:p>
        </w:tc>
        <w:tc>
          <w:tcPr>
            <w:tcW w:w="506" w:type="dxa"/>
            <w:textDirection w:val="btLr"/>
            <w:vAlign w:val="center"/>
          </w:tcPr>
          <w:p w14:paraId="25608CA4"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04003364"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16C04591"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69399507"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61172713"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5042F591"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r>
      <w:tr w:rsidR="009A6666" w:rsidRPr="00E86F16" w14:paraId="411F69A1" w14:textId="77777777" w:rsidTr="00687397">
        <w:trPr>
          <w:cantSplit/>
          <w:trHeight w:val="283"/>
        </w:trPr>
        <w:tc>
          <w:tcPr>
            <w:tcW w:w="506" w:type="dxa"/>
            <w:vMerge w:val="restart"/>
            <w:textDirection w:val="btLr"/>
          </w:tcPr>
          <w:p w14:paraId="5A437648"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691DA0CA"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6502-1078</w:t>
            </w:r>
          </w:p>
        </w:tc>
        <w:tc>
          <w:tcPr>
            <w:tcW w:w="506" w:type="dxa"/>
            <w:vMerge w:val="restart"/>
            <w:textDirection w:val="btLr"/>
          </w:tcPr>
          <w:p w14:paraId="30AE5028"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272134</w:t>
            </w:r>
          </w:p>
        </w:tc>
        <w:tc>
          <w:tcPr>
            <w:tcW w:w="1939" w:type="dxa"/>
            <w:vMerge w:val="restart"/>
            <w:vAlign w:val="center"/>
          </w:tcPr>
          <w:p w14:paraId="2A45E227" w14:textId="77777777" w:rsidR="009A6666" w:rsidRPr="00CA229F" w:rsidRDefault="009A6666" w:rsidP="00687397">
            <w:pPr>
              <w:pStyle w:val="Standard"/>
              <w:widowControl/>
              <w:tabs>
                <w:tab w:val="left" w:pos="-3186"/>
              </w:tabs>
              <w:jc w:val="center"/>
              <w:rPr>
                <w:rFonts w:ascii="Arial" w:hAnsi="Arial" w:cs="Arial"/>
                <w:bCs/>
                <w:color w:val="000000" w:themeColor="text1"/>
                <w:sz w:val="16"/>
                <w:szCs w:val="16"/>
              </w:rPr>
            </w:pPr>
            <w:r w:rsidRPr="00CA229F">
              <w:rPr>
                <w:rFonts w:ascii="Arial" w:hAnsi="Arial" w:cs="Arial"/>
                <w:sz w:val="16"/>
                <w:szCs w:val="16"/>
              </w:rPr>
              <w:t>Ciclopentolato, Cloridrato, 10 mg/ml, Solução oftálmica, Frasco gotejador, 5 ml, VIA DE ADMINISTRAÇÃO: Oftálmica, PORTARIA 344/98: C1, UNID.</w:t>
            </w:r>
          </w:p>
        </w:tc>
        <w:tc>
          <w:tcPr>
            <w:tcW w:w="1304" w:type="dxa"/>
            <w:vAlign w:val="center"/>
          </w:tcPr>
          <w:p w14:paraId="5601C0EB" w14:textId="77777777" w:rsidR="009A6666" w:rsidRPr="00905AAD"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14:paraId="1C52CD8B"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2FA3FCA1"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r>
      <w:tr w:rsidR="009A6666" w:rsidRPr="00E86F16" w14:paraId="7FD838A4" w14:textId="77777777" w:rsidTr="00687397">
        <w:trPr>
          <w:cantSplit/>
          <w:trHeight w:val="283"/>
        </w:trPr>
        <w:tc>
          <w:tcPr>
            <w:tcW w:w="506" w:type="dxa"/>
            <w:vMerge/>
            <w:textDirection w:val="btLr"/>
          </w:tcPr>
          <w:p w14:paraId="6D2427B8"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F149CB5"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74CC7DBA"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64004EB1" w14:textId="77777777" w:rsidR="009A6666" w:rsidRDefault="009A6666" w:rsidP="00687397">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AD7BB88" w14:textId="77777777" w:rsidR="009A6666" w:rsidRPr="00905AAD"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14:paraId="41424B70"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2754EB6B"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r>
      <w:tr w:rsidR="009A6666" w:rsidRPr="00E86F16" w14:paraId="027C9E4A" w14:textId="77777777" w:rsidTr="00687397">
        <w:trPr>
          <w:cantSplit/>
          <w:trHeight w:val="283"/>
        </w:trPr>
        <w:tc>
          <w:tcPr>
            <w:tcW w:w="506" w:type="dxa"/>
            <w:vMerge/>
            <w:textDirection w:val="btLr"/>
          </w:tcPr>
          <w:p w14:paraId="2501E470"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4A57613"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6AAFAB7D"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7052CC86" w14:textId="77777777" w:rsidR="009A6666" w:rsidRDefault="009A6666" w:rsidP="00687397">
            <w:pPr>
              <w:pStyle w:val="Standard"/>
              <w:widowControl/>
              <w:tabs>
                <w:tab w:val="left" w:pos="-3186"/>
              </w:tabs>
              <w:jc w:val="center"/>
              <w:rPr>
                <w:rFonts w:ascii="docs-Roboto" w:hAnsi="docs-Roboto" w:hint="eastAsia"/>
                <w:color w:val="000000"/>
                <w:sz w:val="18"/>
                <w:szCs w:val="18"/>
              </w:rPr>
            </w:pPr>
          </w:p>
        </w:tc>
        <w:tc>
          <w:tcPr>
            <w:tcW w:w="1304" w:type="dxa"/>
            <w:vAlign w:val="center"/>
          </w:tcPr>
          <w:p w14:paraId="337D2305"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32" w:type="dxa"/>
            <w:vAlign w:val="center"/>
          </w:tcPr>
          <w:p w14:paraId="62B557D9"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61F80249"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r>
      <w:tr w:rsidR="009A6666" w:rsidRPr="00E86F16" w14:paraId="106FF683" w14:textId="77777777" w:rsidTr="00687397">
        <w:trPr>
          <w:cantSplit/>
          <w:trHeight w:val="283"/>
        </w:trPr>
        <w:tc>
          <w:tcPr>
            <w:tcW w:w="506" w:type="dxa"/>
            <w:vMerge/>
            <w:textDirection w:val="btLr"/>
          </w:tcPr>
          <w:p w14:paraId="01D1225A"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F1F8348"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6FC2E8E"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392C1C6" w14:textId="77777777" w:rsidR="009A6666" w:rsidRDefault="009A6666" w:rsidP="00687397">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02087A6"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32" w:type="dxa"/>
            <w:vAlign w:val="center"/>
          </w:tcPr>
          <w:p w14:paraId="7B00A00D"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62090E21"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r>
      <w:tr w:rsidR="009A6666" w:rsidRPr="00E86F16" w14:paraId="1DCE6AF5" w14:textId="77777777" w:rsidTr="00687397">
        <w:trPr>
          <w:cantSplit/>
          <w:trHeight w:val="283"/>
        </w:trPr>
        <w:tc>
          <w:tcPr>
            <w:tcW w:w="506" w:type="dxa"/>
            <w:vMerge/>
            <w:textDirection w:val="btLr"/>
          </w:tcPr>
          <w:p w14:paraId="3250AFFF"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C7C8A26"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0CCBCB5"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39702A9F" w14:textId="77777777" w:rsidR="009A6666" w:rsidRDefault="009A6666" w:rsidP="00687397">
            <w:pPr>
              <w:pStyle w:val="Standard"/>
              <w:widowControl/>
              <w:tabs>
                <w:tab w:val="left" w:pos="-3186"/>
              </w:tabs>
              <w:jc w:val="center"/>
              <w:rPr>
                <w:rFonts w:ascii="docs-Roboto" w:hAnsi="docs-Roboto" w:hint="eastAsia"/>
                <w:color w:val="000000"/>
                <w:sz w:val="18"/>
                <w:szCs w:val="18"/>
              </w:rPr>
            </w:pPr>
          </w:p>
        </w:tc>
        <w:tc>
          <w:tcPr>
            <w:tcW w:w="1304" w:type="dxa"/>
            <w:vAlign w:val="center"/>
          </w:tcPr>
          <w:p w14:paraId="1F1FD873"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14:paraId="23BF8095"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04B48E94"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r>
    </w:tbl>
    <w:p w14:paraId="12E9EC68" w14:textId="77777777" w:rsidR="009A6666" w:rsidRDefault="009A6666" w:rsidP="009A6666">
      <w:pPr>
        <w:spacing w:line="360" w:lineRule="auto"/>
        <w:jc w:val="both"/>
        <w:rPr>
          <w:rFonts w:cs="Arial"/>
        </w:rPr>
      </w:pPr>
    </w:p>
    <w:p w14:paraId="4ED7418E" w14:textId="77777777" w:rsidR="009A6666" w:rsidRPr="009A6666" w:rsidRDefault="009A6666" w:rsidP="009A6666">
      <w:pPr>
        <w:pStyle w:val="PargrafodaLista"/>
        <w:numPr>
          <w:ilvl w:val="0"/>
          <w:numId w:val="27"/>
        </w:numPr>
        <w:suppressAutoHyphens w:val="0"/>
        <w:spacing w:line="360" w:lineRule="auto"/>
        <w:jc w:val="both"/>
        <w:rPr>
          <w:rFonts w:cs="Arial"/>
          <w:b/>
          <w:sz w:val="22"/>
          <w:szCs w:val="22"/>
        </w:rPr>
      </w:pPr>
      <w:proofErr w:type="spellStart"/>
      <w:r w:rsidRPr="009A6666">
        <w:rPr>
          <w:rFonts w:ascii="Arial" w:hAnsi="Arial" w:cs="Arial"/>
          <w:b/>
          <w:sz w:val="22"/>
          <w:szCs w:val="22"/>
        </w:rPr>
        <w:t>Levetiracetam</w:t>
      </w:r>
      <w:proofErr w:type="spellEnd"/>
      <w:r w:rsidRPr="009A6666">
        <w:rPr>
          <w:rFonts w:ascii="Arial" w:hAnsi="Arial" w:cs="Arial"/>
          <w:b/>
          <w:sz w:val="22"/>
          <w:szCs w:val="22"/>
        </w:rPr>
        <w:t xml:space="preserve">, 250 mg, Comprimido: </w:t>
      </w:r>
      <w:r w:rsidRPr="009A6666">
        <w:rPr>
          <w:rFonts w:ascii="Arial" w:hAnsi="Arial" w:cs="Arial"/>
          <w:sz w:val="22"/>
          <w:szCs w:val="22"/>
        </w:rPr>
        <w:t xml:space="preserve">é indicado como monoterapia (não combinado com outros medicamentos antiepilépticos) para o tratamento de crises focais/parciais, com ou sem generalização secundária, em pacientes com 16 anos ou mais e diagnóstico recente de epilepsia. É indicado como terapia adjuvante (utilizado com outros medicamentos antiepilépticos) para o tratamento de crises focais/parciais, com ou sem generalização, em adultos, adolescentes e crianças com idade superior a 6 anos, com epilepsia, crises </w:t>
      </w:r>
      <w:proofErr w:type="spellStart"/>
      <w:r w:rsidRPr="009A6666">
        <w:rPr>
          <w:rFonts w:ascii="Arial" w:hAnsi="Arial" w:cs="Arial"/>
          <w:sz w:val="22"/>
          <w:szCs w:val="22"/>
        </w:rPr>
        <w:t>mioclônicas</w:t>
      </w:r>
      <w:proofErr w:type="spellEnd"/>
      <w:r w:rsidRPr="009A6666">
        <w:rPr>
          <w:rFonts w:ascii="Arial" w:hAnsi="Arial" w:cs="Arial"/>
          <w:sz w:val="22"/>
          <w:szCs w:val="22"/>
        </w:rPr>
        <w:t xml:space="preserve"> em adultos, adolescentes e crianças com idade superior a 12 anos, com epilepsia </w:t>
      </w:r>
      <w:proofErr w:type="spellStart"/>
      <w:r w:rsidRPr="009A6666">
        <w:rPr>
          <w:rFonts w:ascii="Arial" w:hAnsi="Arial" w:cs="Arial"/>
          <w:sz w:val="22"/>
          <w:szCs w:val="22"/>
        </w:rPr>
        <w:t>mioclônica</w:t>
      </w:r>
      <w:proofErr w:type="spellEnd"/>
      <w:r w:rsidRPr="009A6666">
        <w:rPr>
          <w:rFonts w:ascii="Arial" w:hAnsi="Arial" w:cs="Arial"/>
          <w:sz w:val="22"/>
          <w:szCs w:val="22"/>
        </w:rPr>
        <w:t xml:space="preserve"> juvenil, crises tônico-</w:t>
      </w:r>
      <w:proofErr w:type="spellStart"/>
      <w:r w:rsidRPr="009A6666">
        <w:rPr>
          <w:rFonts w:ascii="Arial" w:hAnsi="Arial" w:cs="Arial"/>
          <w:sz w:val="22"/>
          <w:szCs w:val="22"/>
        </w:rPr>
        <w:t>clônicas</w:t>
      </w:r>
      <w:proofErr w:type="spellEnd"/>
      <w:r w:rsidRPr="009A6666">
        <w:rPr>
          <w:rFonts w:ascii="Arial" w:hAnsi="Arial" w:cs="Arial"/>
          <w:sz w:val="22"/>
          <w:szCs w:val="22"/>
        </w:rPr>
        <w:t xml:space="preserve"> primárias generalizadas em adultos, adolescentes e crianças com mais de 6 anos de idade com epilepsia idiopática generalizada.</w:t>
      </w:r>
    </w:p>
    <w:p w14:paraId="32FAC9F7" w14:textId="77777777" w:rsidR="009A6666" w:rsidRDefault="009A6666" w:rsidP="009A6666">
      <w:pPr>
        <w:pStyle w:val="PargrafodaLista"/>
        <w:spacing w:line="360" w:lineRule="auto"/>
        <w:ind w:left="720"/>
        <w:jc w:val="both"/>
        <w:rPr>
          <w:rFonts w:ascii="Arial" w:hAnsi="Arial" w:cs="Arial"/>
          <w:b/>
        </w:rPr>
      </w:pPr>
    </w:p>
    <w:tbl>
      <w:tblPr>
        <w:tblStyle w:val="Tabelacomgrade12"/>
        <w:tblW w:w="9787" w:type="dxa"/>
        <w:tblInd w:w="-5" w:type="dxa"/>
        <w:tblLayout w:type="fixed"/>
        <w:tblLook w:val="04A0" w:firstRow="1" w:lastRow="0" w:firstColumn="1" w:lastColumn="0" w:noHBand="0" w:noVBand="1"/>
      </w:tblPr>
      <w:tblGrid>
        <w:gridCol w:w="626"/>
        <w:gridCol w:w="833"/>
        <w:gridCol w:w="624"/>
        <w:gridCol w:w="3123"/>
        <w:gridCol w:w="2083"/>
        <w:gridCol w:w="1041"/>
        <w:gridCol w:w="1457"/>
      </w:tblGrid>
      <w:tr w:rsidR="009A6666" w14:paraId="1D2FBBD8" w14:textId="77777777" w:rsidTr="00687397">
        <w:trPr>
          <w:cantSplit/>
          <w:trHeight w:val="1134"/>
        </w:trPr>
        <w:tc>
          <w:tcPr>
            <w:tcW w:w="426" w:type="dxa"/>
            <w:textDirection w:val="btLr"/>
            <w:vAlign w:val="center"/>
          </w:tcPr>
          <w:p w14:paraId="5A22D95A"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15</w:t>
            </w:r>
          </w:p>
        </w:tc>
        <w:tc>
          <w:tcPr>
            <w:tcW w:w="567" w:type="dxa"/>
            <w:textDirection w:val="btLr"/>
            <w:vAlign w:val="center"/>
          </w:tcPr>
          <w:p w14:paraId="05F93C9F"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45975AF4"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2126" w:type="dxa"/>
            <w:vAlign w:val="center"/>
          </w:tcPr>
          <w:p w14:paraId="5A892F83" w14:textId="77777777" w:rsidR="009A6666" w:rsidRPr="003A3CC5" w:rsidRDefault="009A6666" w:rsidP="00687397">
            <w:pPr>
              <w:pStyle w:val="Standard"/>
              <w:widowControl/>
              <w:tabs>
                <w:tab w:val="left" w:pos="-3186"/>
              </w:tabs>
              <w:jc w:val="both"/>
              <w:rPr>
                <w:rFonts w:ascii="Arial" w:hAnsi="Arial" w:cs="Arial"/>
                <w:bCs/>
                <w:color w:val="000000" w:themeColor="text1"/>
                <w:sz w:val="22"/>
                <w:szCs w:val="22"/>
              </w:rPr>
            </w:pPr>
            <w:r w:rsidRPr="003A3CC5">
              <w:rPr>
                <w:rFonts w:ascii="Arial" w:eastAsia="Times New Roman" w:hAnsi="Arial" w:cs="Arial"/>
                <w:b/>
                <w:bCs/>
                <w:color w:val="000000"/>
                <w:sz w:val="16"/>
                <w:szCs w:val="16"/>
                <w:lang w:eastAsia="pt-BR"/>
              </w:rPr>
              <w:t>Descrição do medicamento</w:t>
            </w:r>
          </w:p>
        </w:tc>
        <w:tc>
          <w:tcPr>
            <w:tcW w:w="1418" w:type="dxa"/>
            <w:vAlign w:val="center"/>
          </w:tcPr>
          <w:p w14:paraId="5BF08B81"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3624C8AD" w14:textId="77777777" w:rsidR="009A6666" w:rsidRDefault="009A6666" w:rsidP="00687397">
            <w:pPr>
              <w:pStyle w:val="Standard"/>
              <w:widowControl/>
              <w:tabs>
                <w:tab w:val="left" w:pos="-3186"/>
              </w:tabs>
              <w:ind w:hanging="45"/>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14:paraId="3C337581"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r>
      <w:tr w:rsidR="009A6666" w:rsidRPr="00E86F16" w14:paraId="69FA8D6E" w14:textId="77777777" w:rsidTr="00687397">
        <w:trPr>
          <w:cantSplit/>
          <w:trHeight w:val="510"/>
        </w:trPr>
        <w:tc>
          <w:tcPr>
            <w:tcW w:w="426" w:type="dxa"/>
            <w:textDirection w:val="btLr"/>
          </w:tcPr>
          <w:p w14:paraId="4B46091C"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textDirection w:val="btLr"/>
          </w:tcPr>
          <w:p w14:paraId="58D8677D"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6502-23656</w:t>
            </w:r>
          </w:p>
        </w:tc>
        <w:tc>
          <w:tcPr>
            <w:tcW w:w="425" w:type="dxa"/>
            <w:textDirection w:val="btLr"/>
          </w:tcPr>
          <w:p w14:paraId="01070AF8"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285965</w:t>
            </w:r>
          </w:p>
        </w:tc>
        <w:tc>
          <w:tcPr>
            <w:tcW w:w="2126" w:type="dxa"/>
            <w:vAlign w:val="bottom"/>
          </w:tcPr>
          <w:p w14:paraId="063C766F" w14:textId="77777777" w:rsidR="009A6666" w:rsidRPr="003A3CC5" w:rsidRDefault="009A6666" w:rsidP="00687397">
            <w:pPr>
              <w:pStyle w:val="Standard"/>
              <w:widowControl/>
              <w:tabs>
                <w:tab w:val="left" w:pos="-3186"/>
              </w:tabs>
              <w:rPr>
                <w:rFonts w:ascii="Arial" w:hAnsi="Arial" w:cs="Arial"/>
                <w:bCs/>
                <w:color w:val="000000" w:themeColor="text1"/>
                <w:sz w:val="16"/>
                <w:szCs w:val="16"/>
              </w:rPr>
            </w:pPr>
            <w:proofErr w:type="spellStart"/>
            <w:r w:rsidRPr="003A3CC5">
              <w:rPr>
                <w:rFonts w:ascii="Arial" w:hAnsi="Arial" w:cs="Arial"/>
                <w:sz w:val="16"/>
                <w:szCs w:val="16"/>
              </w:rPr>
              <w:t>Levetiracetam</w:t>
            </w:r>
            <w:proofErr w:type="spellEnd"/>
            <w:r w:rsidRPr="003A3CC5">
              <w:rPr>
                <w:rFonts w:ascii="Arial" w:hAnsi="Arial" w:cs="Arial"/>
                <w:sz w:val="16"/>
                <w:szCs w:val="16"/>
              </w:rPr>
              <w:t>, 250 mg, Comprimido, Blister, VIA DE ADMINISTRAÇÃO: Oral, PORTARIA 344/98: C1, UNID. DE MEDIDA: Unitário</w:t>
            </w:r>
          </w:p>
        </w:tc>
        <w:tc>
          <w:tcPr>
            <w:tcW w:w="1418" w:type="dxa"/>
            <w:vAlign w:val="center"/>
          </w:tcPr>
          <w:p w14:paraId="5898257D"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5FE31557" w14:textId="77777777" w:rsidR="009A6666" w:rsidRPr="00905AAD"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14:paraId="25B69EE5"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r>
    </w:tbl>
    <w:p w14:paraId="4C10B7C9" w14:textId="77777777" w:rsidR="009A6666" w:rsidRDefault="009A6666" w:rsidP="009A6666">
      <w:pPr>
        <w:pStyle w:val="PargrafodaLista"/>
        <w:spacing w:line="360" w:lineRule="auto"/>
        <w:ind w:left="720"/>
        <w:jc w:val="both"/>
        <w:rPr>
          <w:rFonts w:cs="Arial"/>
          <w:b/>
        </w:rPr>
      </w:pPr>
    </w:p>
    <w:p w14:paraId="38677967" w14:textId="77777777" w:rsidR="009A6666" w:rsidRDefault="009A6666" w:rsidP="009A6666">
      <w:pPr>
        <w:pStyle w:val="PargrafodaLista"/>
        <w:spacing w:line="360" w:lineRule="auto"/>
        <w:ind w:left="720"/>
        <w:jc w:val="both"/>
        <w:rPr>
          <w:rFonts w:cs="Arial"/>
          <w:b/>
        </w:rPr>
      </w:pPr>
    </w:p>
    <w:p w14:paraId="74A94705" w14:textId="77777777" w:rsidR="009A6666" w:rsidRPr="009A6666" w:rsidRDefault="009A6666" w:rsidP="009A6666">
      <w:pPr>
        <w:pStyle w:val="PargrafodaLista"/>
        <w:numPr>
          <w:ilvl w:val="0"/>
          <w:numId w:val="27"/>
        </w:numPr>
        <w:suppressAutoHyphens w:val="0"/>
        <w:spacing w:line="360" w:lineRule="auto"/>
        <w:jc w:val="both"/>
        <w:rPr>
          <w:rFonts w:cs="Arial"/>
          <w:b/>
          <w:sz w:val="22"/>
        </w:rPr>
      </w:pPr>
      <w:proofErr w:type="spellStart"/>
      <w:r w:rsidRPr="009A6666">
        <w:rPr>
          <w:rFonts w:ascii="Arial" w:hAnsi="Arial" w:cs="Arial"/>
          <w:b/>
          <w:sz w:val="22"/>
        </w:rPr>
        <w:lastRenderedPageBreak/>
        <w:t>Lorazepam</w:t>
      </w:r>
      <w:proofErr w:type="spellEnd"/>
      <w:r w:rsidRPr="009A6666">
        <w:rPr>
          <w:rFonts w:ascii="Arial" w:hAnsi="Arial" w:cs="Arial"/>
          <w:b/>
          <w:sz w:val="22"/>
        </w:rPr>
        <w:t xml:space="preserve">, 1 mg, Comprimido: </w:t>
      </w:r>
      <w:r w:rsidRPr="009A6666">
        <w:rPr>
          <w:rFonts w:ascii="Arial" w:hAnsi="Arial" w:cs="Arial"/>
          <w:sz w:val="22"/>
        </w:rPr>
        <w:t xml:space="preserve">é indicado para o controle dos distúrbios de ansiedade ou para alívio, acurto prazo, dos sintomas da ansiedade ou da ansiedade associada com sintomas depressivos. A ansiedade ou tensão associadas ao estresse da vida cotidiana não requer, usualmente, tratamento com um ansiolítico (classe medicamentosa do </w:t>
      </w:r>
      <w:proofErr w:type="spellStart"/>
      <w:r w:rsidRPr="009A6666">
        <w:rPr>
          <w:rFonts w:ascii="Arial" w:hAnsi="Arial" w:cs="Arial"/>
          <w:sz w:val="22"/>
        </w:rPr>
        <w:t>lorazepam</w:t>
      </w:r>
      <w:proofErr w:type="spellEnd"/>
      <w:r w:rsidRPr="009A6666">
        <w:rPr>
          <w:rFonts w:ascii="Arial" w:hAnsi="Arial" w:cs="Arial"/>
          <w:sz w:val="22"/>
        </w:rPr>
        <w:t>). Tratamento da componente ansiedade em estados psicóticos e depressão intensa, quando estiver indicada terapia adjuvante (complementar) e como medicação pré-operatória, tomada na noite anterior e/ou uma a duas horas antes do procedimento cirúrgico.</w:t>
      </w:r>
    </w:p>
    <w:p w14:paraId="1D168C85" w14:textId="77777777" w:rsidR="009A6666" w:rsidRPr="00E5130F" w:rsidRDefault="009A6666" w:rsidP="009A6666">
      <w:pPr>
        <w:pStyle w:val="PargrafodaLista"/>
        <w:spacing w:line="360" w:lineRule="auto"/>
        <w:ind w:left="720"/>
        <w:jc w:val="both"/>
        <w:rPr>
          <w:rFonts w:cs="Arial"/>
          <w:b/>
        </w:rPr>
      </w:pPr>
    </w:p>
    <w:tbl>
      <w:tblPr>
        <w:tblStyle w:val="Tabelacomgrade14"/>
        <w:tblW w:w="9781" w:type="dxa"/>
        <w:tblInd w:w="-5" w:type="dxa"/>
        <w:tblLayout w:type="fixed"/>
        <w:tblLook w:val="04A0" w:firstRow="1" w:lastRow="0" w:firstColumn="1" w:lastColumn="0" w:noHBand="0" w:noVBand="1"/>
      </w:tblPr>
      <w:tblGrid>
        <w:gridCol w:w="640"/>
        <w:gridCol w:w="851"/>
        <w:gridCol w:w="637"/>
        <w:gridCol w:w="2977"/>
        <w:gridCol w:w="2125"/>
        <w:gridCol w:w="1063"/>
        <w:gridCol w:w="1488"/>
      </w:tblGrid>
      <w:tr w:rsidR="009A6666" w14:paraId="60930B86" w14:textId="77777777" w:rsidTr="00687397">
        <w:trPr>
          <w:cantSplit/>
          <w:trHeight w:val="1134"/>
        </w:trPr>
        <w:tc>
          <w:tcPr>
            <w:tcW w:w="426" w:type="dxa"/>
            <w:textDirection w:val="btLr"/>
            <w:vAlign w:val="center"/>
          </w:tcPr>
          <w:p w14:paraId="05198DFB"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17</w:t>
            </w:r>
          </w:p>
        </w:tc>
        <w:tc>
          <w:tcPr>
            <w:tcW w:w="567" w:type="dxa"/>
            <w:textDirection w:val="btLr"/>
            <w:vAlign w:val="center"/>
          </w:tcPr>
          <w:p w14:paraId="40688A7C"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059588A6"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14:paraId="54A7F45D"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14:paraId="4A566622"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6F98F1BA"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14:paraId="597E626E"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r>
      <w:tr w:rsidR="009A6666" w:rsidRPr="00E86F16" w14:paraId="19935C4A" w14:textId="77777777" w:rsidTr="00687397">
        <w:trPr>
          <w:cantSplit/>
          <w:trHeight w:val="510"/>
        </w:trPr>
        <w:tc>
          <w:tcPr>
            <w:tcW w:w="426" w:type="dxa"/>
            <w:vMerge w:val="restart"/>
            <w:textDirection w:val="btLr"/>
          </w:tcPr>
          <w:p w14:paraId="042DED4C"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14:paraId="70F53960"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6502-1155</w:t>
            </w:r>
          </w:p>
        </w:tc>
        <w:tc>
          <w:tcPr>
            <w:tcW w:w="425" w:type="dxa"/>
            <w:vMerge w:val="restart"/>
            <w:textDirection w:val="btLr"/>
          </w:tcPr>
          <w:p w14:paraId="0AA6FDA2"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273472</w:t>
            </w:r>
          </w:p>
        </w:tc>
        <w:tc>
          <w:tcPr>
            <w:tcW w:w="1985" w:type="dxa"/>
            <w:vMerge w:val="restart"/>
            <w:vAlign w:val="center"/>
          </w:tcPr>
          <w:p w14:paraId="435CD6BD" w14:textId="77777777" w:rsidR="009A6666" w:rsidRPr="00B55278" w:rsidRDefault="009A6666" w:rsidP="00687397">
            <w:pPr>
              <w:pStyle w:val="Standard"/>
              <w:widowControl/>
              <w:tabs>
                <w:tab w:val="left" w:pos="-3186"/>
              </w:tabs>
              <w:jc w:val="center"/>
              <w:rPr>
                <w:rFonts w:ascii="Arial" w:hAnsi="Arial" w:cs="Arial"/>
                <w:bCs/>
                <w:color w:val="000000" w:themeColor="text1"/>
                <w:sz w:val="16"/>
                <w:szCs w:val="16"/>
              </w:rPr>
            </w:pPr>
            <w:proofErr w:type="spellStart"/>
            <w:r w:rsidRPr="00B55278">
              <w:rPr>
                <w:rFonts w:ascii="Arial" w:hAnsi="Arial" w:cs="Arial"/>
                <w:sz w:val="16"/>
                <w:szCs w:val="16"/>
              </w:rPr>
              <w:t>Lorazepam</w:t>
            </w:r>
            <w:proofErr w:type="spellEnd"/>
            <w:r w:rsidRPr="00B55278">
              <w:rPr>
                <w:rFonts w:ascii="Arial" w:hAnsi="Arial" w:cs="Arial"/>
                <w:sz w:val="16"/>
                <w:szCs w:val="16"/>
              </w:rPr>
              <w:t>, 1 mg, Comprimido, Blister, VIA DE ADMINISTRAÇÃO: Oral, PORTARIA 344/98: B1, UNID. DE MEDIDA: Unitário</w:t>
            </w:r>
          </w:p>
        </w:tc>
        <w:tc>
          <w:tcPr>
            <w:tcW w:w="1417" w:type="dxa"/>
            <w:vAlign w:val="center"/>
          </w:tcPr>
          <w:p w14:paraId="5BA6F4EA"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2F0E9032" w14:textId="77777777" w:rsidR="009A6666" w:rsidRPr="00905AAD"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250</w:t>
            </w:r>
          </w:p>
        </w:tc>
        <w:tc>
          <w:tcPr>
            <w:tcW w:w="992" w:type="dxa"/>
            <w:vAlign w:val="center"/>
          </w:tcPr>
          <w:p w14:paraId="5CBEAA2D"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3.000</w:t>
            </w:r>
          </w:p>
        </w:tc>
      </w:tr>
      <w:tr w:rsidR="009A6666" w:rsidRPr="00E86F16" w14:paraId="2CA81EF4" w14:textId="77777777" w:rsidTr="00687397">
        <w:trPr>
          <w:cantSplit/>
          <w:trHeight w:val="510"/>
        </w:trPr>
        <w:tc>
          <w:tcPr>
            <w:tcW w:w="426" w:type="dxa"/>
            <w:vMerge/>
            <w:textDirection w:val="btLr"/>
          </w:tcPr>
          <w:p w14:paraId="4548317D"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7D9F617F" w14:textId="77777777" w:rsidR="009A6666"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666C4437"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6281CE37" w14:textId="77777777" w:rsidR="009A6666" w:rsidRDefault="009A6666" w:rsidP="00687397">
            <w:pPr>
              <w:pStyle w:val="Standard"/>
              <w:widowControl/>
              <w:tabs>
                <w:tab w:val="left" w:pos="-3186"/>
              </w:tabs>
              <w:jc w:val="center"/>
              <w:rPr>
                <w:rFonts w:ascii="Arial" w:hAnsi="Arial" w:cs="Arial"/>
                <w:color w:val="000000"/>
                <w:sz w:val="18"/>
                <w:szCs w:val="18"/>
              </w:rPr>
            </w:pPr>
          </w:p>
        </w:tc>
        <w:tc>
          <w:tcPr>
            <w:tcW w:w="1417" w:type="dxa"/>
            <w:vAlign w:val="center"/>
          </w:tcPr>
          <w:p w14:paraId="28D104D3"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vAlign w:val="center"/>
          </w:tcPr>
          <w:p w14:paraId="75B2DB41" w14:textId="77777777" w:rsidR="009A6666" w:rsidRPr="00905AAD"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69924D30"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r>
    </w:tbl>
    <w:p w14:paraId="58225ABC" w14:textId="77777777" w:rsidR="009A6666" w:rsidRDefault="009A6666" w:rsidP="009A6666">
      <w:pPr>
        <w:spacing w:line="360" w:lineRule="auto"/>
        <w:ind w:left="360"/>
        <w:jc w:val="both"/>
        <w:rPr>
          <w:rFonts w:cs="Arial"/>
          <w:b/>
          <w:sz w:val="24"/>
          <w:szCs w:val="24"/>
        </w:rPr>
      </w:pPr>
    </w:p>
    <w:p w14:paraId="47F4099B" w14:textId="77777777" w:rsidR="009A6666" w:rsidRPr="009A6666" w:rsidRDefault="009A6666" w:rsidP="009A6666">
      <w:pPr>
        <w:pStyle w:val="PargrafodaLista"/>
        <w:numPr>
          <w:ilvl w:val="0"/>
          <w:numId w:val="27"/>
        </w:numPr>
        <w:suppressAutoHyphens w:val="0"/>
        <w:spacing w:line="360" w:lineRule="auto"/>
        <w:jc w:val="both"/>
        <w:rPr>
          <w:rFonts w:cs="Arial"/>
          <w:b/>
          <w:sz w:val="22"/>
        </w:rPr>
      </w:pPr>
      <w:proofErr w:type="spellStart"/>
      <w:r w:rsidRPr="009A6666">
        <w:rPr>
          <w:rFonts w:ascii="Arial" w:hAnsi="Arial" w:cs="Arial"/>
          <w:b/>
          <w:sz w:val="22"/>
        </w:rPr>
        <w:t>Vigabatrina</w:t>
      </w:r>
      <w:proofErr w:type="spellEnd"/>
      <w:r w:rsidRPr="009A6666">
        <w:rPr>
          <w:rFonts w:ascii="Arial" w:hAnsi="Arial" w:cs="Arial"/>
          <w:b/>
          <w:sz w:val="22"/>
        </w:rPr>
        <w:t xml:space="preserve">, 500mg, Comprimido: </w:t>
      </w:r>
      <w:r w:rsidRPr="009A6666">
        <w:rPr>
          <w:rFonts w:ascii="Arial" w:hAnsi="Arial" w:cs="Arial"/>
          <w:sz w:val="22"/>
        </w:rPr>
        <w:t>indicado como coadjuvante no tratamento de pacientes com epilepsias parciais resistentes, com ou sem generalização secundária, as quais não estão satisfatoriamente controladas por outros fármacos antiepilépticos ou quando outras combinações de fármacos não foram toleradas. É indicado também em monoterapia no tratamento de espasmos infantis.</w:t>
      </w:r>
    </w:p>
    <w:p w14:paraId="78216954" w14:textId="77777777" w:rsidR="009A6666" w:rsidRPr="00E5130F" w:rsidRDefault="009A6666" w:rsidP="009A6666">
      <w:pPr>
        <w:pStyle w:val="PargrafodaLista"/>
        <w:spacing w:line="360" w:lineRule="auto"/>
        <w:ind w:left="720"/>
        <w:jc w:val="both"/>
        <w:rPr>
          <w:rFonts w:cs="Arial"/>
          <w:b/>
        </w:rPr>
      </w:pPr>
    </w:p>
    <w:tbl>
      <w:tblPr>
        <w:tblStyle w:val="Tabelacomgrade26"/>
        <w:tblW w:w="9781" w:type="dxa"/>
        <w:tblInd w:w="-5" w:type="dxa"/>
        <w:tblLayout w:type="fixed"/>
        <w:tblLook w:val="04A0" w:firstRow="1" w:lastRow="0" w:firstColumn="1" w:lastColumn="0" w:noHBand="0" w:noVBand="1"/>
      </w:tblPr>
      <w:tblGrid>
        <w:gridCol w:w="640"/>
        <w:gridCol w:w="851"/>
        <w:gridCol w:w="637"/>
        <w:gridCol w:w="2977"/>
        <w:gridCol w:w="2125"/>
        <w:gridCol w:w="1063"/>
        <w:gridCol w:w="1488"/>
      </w:tblGrid>
      <w:tr w:rsidR="009A6666" w14:paraId="3B0029E9" w14:textId="77777777" w:rsidTr="00687397">
        <w:trPr>
          <w:cantSplit/>
          <w:trHeight w:val="1134"/>
        </w:trPr>
        <w:tc>
          <w:tcPr>
            <w:tcW w:w="426" w:type="dxa"/>
            <w:textDirection w:val="btLr"/>
            <w:vAlign w:val="center"/>
          </w:tcPr>
          <w:p w14:paraId="34D2BC8B"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27</w:t>
            </w:r>
          </w:p>
        </w:tc>
        <w:tc>
          <w:tcPr>
            <w:tcW w:w="567" w:type="dxa"/>
            <w:textDirection w:val="btLr"/>
            <w:vAlign w:val="center"/>
          </w:tcPr>
          <w:p w14:paraId="1397F23F"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473514E2" w14:textId="77777777" w:rsidR="009A6666" w:rsidRDefault="009A6666" w:rsidP="00687397">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14:paraId="5A6EEC34"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14:paraId="6C687961"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7F056D0E"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14:paraId="0E35A4CE" w14:textId="77777777" w:rsidR="009A6666" w:rsidRDefault="009A6666" w:rsidP="00687397">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r>
      <w:tr w:rsidR="009A6666" w:rsidRPr="00E86F16" w14:paraId="3CB17308" w14:textId="77777777" w:rsidTr="00687397">
        <w:trPr>
          <w:cantSplit/>
          <w:trHeight w:val="57"/>
        </w:trPr>
        <w:tc>
          <w:tcPr>
            <w:tcW w:w="426" w:type="dxa"/>
            <w:textDirection w:val="btLr"/>
          </w:tcPr>
          <w:p w14:paraId="10549688"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textDirection w:val="btLr"/>
          </w:tcPr>
          <w:p w14:paraId="181F8C71"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6502-19792</w:t>
            </w:r>
          </w:p>
        </w:tc>
        <w:tc>
          <w:tcPr>
            <w:tcW w:w="425" w:type="dxa"/>
            <w:textDirection w:val="btLr"/>
          </w:tcPr>
          <w:p w14:paraId="0D5B84E6" w14:textId="77777777" w:rsidR="009A6666" w:rsidRPr="00DC40A7" w:rsidRDefault="009A6666" w:rsidP="0068739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272853</w:t>
            </w:r>
          </w:p>
        </w:tc>
        <w:tc>
          <w:tcPr>
            <w:tcW w:w="1985" w:type="dxa"/>
            <w:vAlign w:val="center"/>
          </w:tcPr>
          <w:p w14:paraId="0B0627BA" w14:textId="77777777" w:rsidR="009A6666" w:rsidRPr="00327341" w:rsidRDefault="009A6666" w:rsidP="00687397">
            <w:pPr>
              <w:pStyle w:val="Standard"/>
              <w:widowControl/>
              <w:tabs>
                <w:tab w:val="left" w:pos="-3186"/>
              </w:tabs>
              <w:jc w:val="center"/>
              <w:rPr>
                <w:rFonts w:ascii="Arial" w:hAnsi="Arial" w:cs="Arial"/>
                <w:bCs/>
                <w:color w:val="000000" w:themeColor="text1"/>
                <w:sz w:val="16"/>
                <w:szCs w:val="16"/>
              </w:rPr>
            </w:pPr>
            <w:proofErr w:type="spellStart"/>
            <w:r w:rsidRPr="00327341">
              <w:rPr>
                <w:rFonts w:ascii="Arial" w:hAnsi="Arial" w:cs="Arial"/>
                <w:sz w:val="16"/>
                <w:szCs w:val="16"/>
              </w:rPr>
              <w:t>Vigabatrina</w:t>
            </w:r>
            <w:proofErr w:type="spellEnd"/>
            <w:r w:rsidRPr="00327341">
              <w:rPr>
                <w:rFonts w:ascii="Arial" w:hAnsi="Arial" w:cs="Arial"/>
                <w:sz w:val="16"/>
                <w:szCs w:val="16"/>
              </w:rPr>
              <w:t>, 500mg, Comprimido, Blister, VIA DE ADMINISTRAÇÃO: Oral, PORTARIA 344/98: C1, UNID. DE MEDIDA: Unitário</w:t>
            </w:r>
          </w:p>
        </w:tc>
        <w:tc>
          <w:tcPr>
            <w:tcW w:w="1417" w:type="dxa"/>
            <w:vAlign w:val="center"/>
          </w:tcPr>
          <w:p w14:paraId="062EB895" w14:textId="77777777" w:rsidR="009A666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496BCD79" w14:textId="77777777" w:rsidR="009A6666" w:rsidRPr="00905AAD"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125</w:t>
            </w:r>
          </w:p>
        </w:tc>
        <w:tc>
          <w:tcPr>
            <w:tcW w:w="992" w:type="dxa"/>
            <w:vAlign w:val="center"/>
          </w:tcPr>
          <w:p w14:paraId="47B66E47" w14:textId="77777777" w:rsidR="009A6666" w:rsidRPr="00E86F16" w:rsidRDefault="009A6666" w:rsidP="0068739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r>
    </w:tbl>
    <w:p w14:paraId="7E96E08E" w14:textId="77777777" w:rsidR="009A6666" w:rsidRPr="00E5130F" w:rsidRDefault="009A6666" w:rsidP="009A6666">
      <w:pPr>
        <w:spacing w:line="360" w:lineRule="auto"/>
        <w:ind w:left="360"/>
        <w:jc w:val="both"/>
        <w:rPr>
          <w:rFonts w:cs="Arial"/>
          <w:b/>
        </w:rPr>
      </w:pPr>
    </w:p>
    <w:p w14:paraId="7D31A1F1" w14:textId="77777777" w:rsidR="009A6666" w:rsidRPr="009A6666" w:rsidRDefault="009A6666" w:rsidP="009A6666">
      <w:pPr>
        <w:autoSpaceDE w:val="0"/>
        <w:autoSpaceDN w:val="0"/>
        <w:adjustRightInd w:val="0"/>
        <w:spacing w:after="0" w:line="360" w:lineRule="auto"/>
        <w:ind w:left="539" w:firstLine="708"/>
        <w:rPr>
          <w:rFonts w:ascii="Arial" w:hAnsi="Arial" w:cs="Arial"/>
        </w:rPr>
      </w:pPr>
      <w:r w:rsidRPr="009A6666">
        <w:rPr>
          <w:rFonts w:ascii="Arial" w:hAnsi="Arial" w:cs="Arial"/>
          <w:b/>
          <w:bCs/>
        </w:rPr>
        <w:t xml:space="preserve">Ressaltamos que estes itens resultaram deserto no PE 182/2022 </w:t>
      </w:r>
      <w:proofErr w:type="gramStart"/>
      <w:r w:rsidRPr="009A6666">
        <w:rPr>
          <w:rFonts w:ascii="Arial" w:hAnsi="Arial" w:cs="Arial"/>
          <w:b/>
          <w:bCs/>
        </w:rPr>
        <w:t>-  PROTOCOLO</w:t>
      </w:r>
      <w:proofErr w:type="gramEnd"/>
      <w:r w:rsidRPr="009A6666">
        <w:rPr>
          <w:rFonts w:ascii="Arial" w:hAnsi="Arial" w:cs="Arial"/>
          <w:b/>
          <w:bCs/>
        </w:rPr>
        <w:t xml:space="preserve"> 18.884.064-7.</w:t>
      </w:r>
    </w:p>
    <w:p w14:paraId="741E8C37" w14:textId="77777777" w:rsidR="009A6666" w:rsidRPr="009A6666" w:rsidRDefault="009A6666" w:rsidP="009A6666">
      <w:pPr>
        <w:spacing w:after="103" w:line="360" w:lineRule="auto"/>
        <w:ind w:firstLine="1247"/>
        <w:jc w:val="both"/>
        <w:rPr>
          <w:rFonts w:ascii="Arial" w:hAnsi="Arial" w:cs="Arial"/>
        </w:rPr>
      </w:pPr>
      <w:r w:rsidRPr="009A6666">
        <w:rPr>
          <w:rFonts w:ascii="Arial" w:hAnsi="Arial" w:cs="Arial"/>
        </w:rPr>
        <w:t xml:space="preserve">Por fim, esta contratação visa atender as </w:t>
      </w:r>
      <w:r w:rsidRPr="009A6666">
        <w:rPr>
          <w:rStyle w:val="hgkelc"/>
          <w:rFonts w:ascii="Arial" w:hAnsi="Arial" w:cs="Arial"/>
        </w:rPr>
        <w:t>necessidades dos pacientes, buscando a manutenção da integridade e segurança destes</w:t>
      </w:r>
      <w:r w:rsidRPr="009A6666">
        <w:rPr>
          <w:rFonts w:ascii="Arial" w:hAnsi="Arial" w:cs="Arial"/>
        </w:rPr>
        <w:t>, de forma a garantir a eficiência e efetividade dos serviços oferecidos usuários do SUS – Sistema Único de Saúde – no estado do Paraná.</w:t>
      </w:r>
    </w:p>
    <w:p w14:paraId="4A48708B" w14:textId="77777777" w:rsidR="009564E3" w:rsidRDefault="009564E3" w:rsidP="009A6666">
      <w:pPr>
        <w:spacing w:after="103" w:line="360" w:lineRule="auto"/>
        <w:ind w:firstLine="851"/>
        <w:jc w:val="both"/>
        <w:rPr>
          <w:rFonts w:ascii="Arial" w:hAnsi="Arial" w:cs="Arial"/>
          <w:b/>
          <w:bCs/>
        </w:rPr>
      </w:pPr>
    </w:p>
    <w:p w14:paraId="43C22C91" w14:textId="4B1D9E23" w:rsidR="009A6666" w:rsidRPr="009A6666" w:rsidRDefault="009A6666" w:rsidP="009A6666">
      <w:pPr>
        <w:spacing w:after="103" w:line="360" w:lineRule="auto"/>
        <w:ind w:firstLine="851"/>
        <w:jc w:val="both"/>
        <w:rPr>
          <w:rFonts w:ascii="Arial" w:hAnsi="Arial" w:cs="Arial"/>
          <w:b/>
          <w:bCs/>
        </w:rPr>
      </w:pPr>
      <w:r w:rsidRPr="009A6666">
        <w:rPr>
          <w:rFonts w:ascii="Arial" w:hAnsi="Arial" w:cs="Arial"/>
          <w:b/>
          <w:bCs/>
        </w:rPr>
        <w:t>DOS PRODUTOS GERADOS</w:t>
      </w:r>
    </w:p>
    <w:p w14:paraId="0B348BCC" w14:textId="77777777" w:rsidR="009A6666" w:rsidRPr="009A6666" w:rsidRDefault="009A6666" w:rsidP="009A6666">
      <w:pPr>
        <w:spacing w:line="360" w:lineRule="auto"/>
        <w:ind w:firstLine="851"/>
        <w:jc w:val="both"/>
        <w:rPr>
          <w:rFonts w:ascii="Arial" w:hAnsi="Arial" w:cs="Arial"/>
        </w:rPr>
      </w:pPr>
      <w:r w:rsidRPr="009A6666">
        <w:rPr>
          <w:rFonts w:ascii="Arial" w:hAnsi="Arial" w:cs="Arial"/>
        </w:rPr>
        <w:lastRenderedPageBreak/>
        <w:t xml:space="preserve">        A </w:t>
      </w:r>
      <w:proofErr w:type="spellStart"/>
      <w:r w:rsidRPr="009A6666">
        <w:rPr>
          <w:rFonts w:ascii="Arial" w:hAnsi="Arial" w:cs="Arial"/>
        </w:rPr>
        <w:t>vantajosidade</w:t>
      </w:r>
      <w:proofErr w:type="spellEnd"/>
      <w:r w:rsidRPr="009A6666">
        <w:rPr>
          <w:rFonts w:ascii="Arial" w:hAnsi="Arial" w:cs="Arial"/>
        </w:rPr>
        <w:t xml:space="preserve"> e conveniência na aquisição dos medicamentos listados no Termo de Referência, é propiciar um atendimento com garantia na natureza contínua dos serviços prestados, trazendo os seguintes benefícios:</w:t>
      </w:r>
    </w:p>
    <w:tbl>
      <w:tblPr>
        <w:tblStyle w:val="Tabelacomgrade"/>
        <w:tblW w:w="0" w:type="auto"/>
        <w:tblLook w:val="04A0" w:firstRow="1" w:lastRow="0" w:firstColumn="1" w:lastColumn="0" w:noHBand="0" w:noVBand="1"/>
      </w:tblPr>
      <w:tblGrid>
        <w:gridCol w:w="3141"/>
        <w:gridCol w:w="3159"/>
        <w:gridCol w:w="3327"/>
      </w:tblGrid>
      <w:tr w:rsidR="009A6666" w14:paraId="20410BE3" w14:textId="77777777" w:rsidTr="009A6666">
        <w:tc>
          <w:tcPr>
            <w:tcW w:w="3141" w:type="dxa"/>
          </w:tcPr>
          <w:p w14:paraId="33F36967" w14:textId="77777777" w:rsidR="009A6666" w:rsidRPr="009A6666" w:rsidRDefault="009A6666" w:rsidP="00687397">
            <w:pPr>
              <w:spacing w:line="360" w:lineRule="auto"/>
              <w:ind w:firstLine="851"/>
              <w:jc w:val="both"/>
              <w:rPr>
                <w:rFonts w:ascii="Arial" w:hAnsi="Arial" w:cs="Arial"/>
                <w:color w:val="000000"/>
                <w:sz w:val="22"/>
                <w:szCs w:val="22"/>
              </w:rPr>
            </w:pPr>
            <w:r w:rsidRPr="009A6666">
              <w:rPr>
                <w:rFonts w:ascii="Arial" w:hAnsi="Arial" w:cs="Arial"/>
                <w:color w:val="000000"/>
                <w:sz w:val="22"/>
                <w:szCs w:val="22"/>
              </w:rPr>
              <w:t>Diretoria/ Área</w:t>
            </w:r>
          </w:p>
        </w:tc>
        <w:tc>
          <w:tcPr>
            <w:tcW w:w="3159" w:type="dxa"/>
          </w:tcPr>
          <w:p w14:paraId="1C1F718E" w14:textId="77777777" w:rsidR="009A6666" w:rsidRPr="009A6666" w:rsidRDefault="009A6666" w:rsidP="00687397">
            <w:pPr>
              <w:spacing w:line="360" w:lineRule="auto"/>
              <w:ind w:firstLine="851"/>
              <w:jc w:val="both"/>
              <w:rPr>
                <w:rFonts w:ascii="Arial" w:hAnsi="Arial" w:cs="Arial"/>
                <w:color w:val="000000"/>
                <w:sz w:val="22"/>
                <w:szCs w:val="22"/>
              </w:rPr>
            </w:pPr>
            <w:r w:rsidRPr="009A6666">
              <w:rPr>
                <w:rFonts w:ascii="Arial" w:hAnsi="Arial" w:cs="Arial"/>
                <w:color w:val="000000"/>
                <w:sz w:val="22"/>
                <w:szCs w:val="22"/>
              </w:rPr>
              <w:t>Unidade Administrativa</w:t>
            </w:r>
          </w:p>
        </w:tc>
        <w:tc>
          <w:tcPr>
            <w:tcW w:w="3327" w:type="dxa"/>
          </w:tcPr>
          <w:p w14:paraId="7D5425F4" w14:textId="77777777" w:rsidR="009A6666" w:rsidRPr="009A6666" w:rsidRDefault="009A6666" w:rsidP="00687397">
            <w:pPr>
              <w:spacing w:line="360" w:lineRule="auto"/>
              <w:ind w:firstLine="851"/>
              <w:jc w:val="both"/>
              <w:rPr>
                <w:rFonts w:ascii="Arial" w:hAnsi="Arial" w:cs="Arial"/>
                <w:color w:val="000000"/>
                <w:sz w:val="22"/>
                <w:szCs w:val="22"/>
              </w:rPr>
            </w:pPr>
            <w:r w:rsidRPr="009A6666">
              <w:rPr>
                <w:rFonts w:ascii="Arial" w:hAnsi="Arial" w:cs="Arial"/>
                <w:color w:val="000000"/>
                <w:sz w:val="22"/>
                <w:szCs w:val="22"/>
              </w:rPr>
              <w:t>Produtos Gerados</w:t>
            </w:r>
          </w:p>
        </w:tc>
      </w:tr>
      <w:tr w:rsidR="009A6666" w14:paraId="6627B519" w14:textId="77777777" w:rsidTr="009A6666">
        <w:tc>
          <w:tcPr>
            <w:tcW w:w="3141" w:type="dxa"/>
          </w:tcPr>
          <w:p w14:paraId="7A71BBE2" w14:textId="77777777" w:rsidR="009A6666" w:rsidRPr="009A6666" w:rsidRDefault="009A6666" w:rsidP="00687397">
            <w:pPr>
              <w:jc w:val="both"/>
              <w:rPr>
                <w:rFonts w:ascii="Arial" w:hAnsi="Arial" w:cs="Arial"/>
                <w:color w:val="000000"/>
                <w:sz w:val="22"/>
                <w:szCs w:val="22"/>
              </w:rPr>
            </w:pPr>
            <w:r w:rsidRPr="009A6666">
              <w:rPr>
                <w:rFonts w:ascii="Arial" w:hAnsi="Arial" w:cs="Arial"/>
                <w:color w:val="000000"/>
                <w:sz w:val="22"/>
                <w:szCs w:val="22"/>
              </w:rPr>
              <w:t>Diretoria de Enfermagem</w:t>
            </w:r>
          </w:p>
        </w:tc>
        <w:tc>
          <w:tcPr>
            <w:tcW w:w="3159" w:type="dxa"/>
          </w:tcPr>
          <w:p w14:paraId="7841C4AF"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Emergência</w:t>
            </w:r>
          </w:p>
          <w:p w14:paraId="0E2369E2"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Centro Cirúrgico</w:t>
            </w:r>
          </w:p>
          <w:p w14:paraId="7FA1C3C3"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Clínica Médica</w:t>
            </w:r>
          </w:p>
          <w:p w14:paraId="7BE006AC"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Clínica Cirúrgica</w:t>
            </w:r>
          </w:p>
          <w:p w14:paraId="5C6CF7FB"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UTI Adulto</w:t>
            </w:r>
          </w:p>
          <w:p w14:paraId="5B724FFE"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UTI Respiratória</w:t>
            </w:r>
          </w:p>
          <w:p w14:paraId="4B73AE1F"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UTI Neonatal</w:t>
            </w:r>
          </w:p>
          <w:p w14:paraId="2FEBB5DA"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Pediatria</w:t>
            </w:r>
          </w:p>
          <w:p w14:paraId="00AC36D4" w14:textId="77777777" w:rsidR="009A6666" w:rsidRPr="009A6666" w:rsidRDefault="009A6666" w:rsidP="00687397">
            <w:pPr>
              <w:ind w:firstLine="17"/>
              <w:jc w:val="both"/>
              <w:rPr>
                <w:rFonts w:ascii="Arial" w:hAnsi="Arial" w:cs="Arial"/>
                <w:color w:val="000000"/>
                <w:sz w:val="22"/>
                <w:szCs w:val="22"/>
              </w:rPr>
            </w:pPr>
            <w:r w:rsidRPr="009A6666">
              <w:rPr>
                <w:rFonts w:ascii="Arial" w:hAnsi="Arial" w:cs="Arial"/>
                <w:color w:val="000000"/>
                <w:sz w:val="22"/>
                <w:szCs w:val="22"/>
              </w:rPr>
              <w:t>Maternidade</w:t>
            </w:r>
          </w:p>
        </w:tc>
        <w:tc>
          <w:tcPr>
            <w:tcW w:w="3327" w:type="dxa"/>
          </w:tcPr>
          <w:p w14:paraId="69C01331" w14:textId="77777777" w:rsidR="009A6666" w:rsidRPr="009A6666" w:rsidRDefault="009A6666" w:rsidP="009A6666">
            <w:pPr>
              <w:pStyle w:val="PargrafodaLista"/>
              <w:numPr>
                <w:ilvl w:val="0"/>
                <w:numId w:val="25"/>
              </w:numPr>
              <w:tabs>
                <w:tab w:val="left" w:pos="259"/>
              </w:tabs>
              <w:suppressAutoHyphens w:val="0"/>
              <w:spacing w:line="276" w:lineRule="auto"/>
              <w:ind w:left="0" w:firstLine="29"/>
              <w:rPr>
                <w:rFonts w:ascii="Arial" w:hAnsi="Arial" w:cs="Arial"/>
                <w:color w:val="000000"/>
                <w:sz w:val="22"/>
                <w:szCs w:val="22"/>
              </w:rPr>
            </w:pPr>
            <w:r w:rsidRPr="009A6666">
              <w:rPr>
                <w:rFonts w:ascii="Arial" w:hAnsi="Arial" w:cs="Arial"/>
                <w:color w:val="000000"/>
                <w:sz w:val="22"/>
                <w:szCs w:val="22"/>
              </w:rPr>
              <w:t>Possibilidade de alta hospitalar;</w:t>
            </w:r>
          </w:p>
          <w:p w14:paraId="08AD3724" w14:textId="77777777" w:rsidR="009A6666" w:rsidRPr="009A6666" w:rsidRDefault="009A6666" w:rsidP="009A6666">
            <w:pPr>
              <w:pStyle w:val="PargrafodaLista"/>
              <w:numPr>
                <w:ilvl w:val="0"/>
                <w:numId w:val="25"/>
              </w:numPr>
              <w:tabs>
                <w:tab w:val="left" w:pos="259"/>
              </w:tabs>
              <w:suppressAutoHyphens w:val="0"/>
              <w:spacing w:line="276" w:lineRule="auto"/>
              <w:ind w:left="0" w:firstLine="29"/>
              <w:rPr>
                <w:rFonts w:ascii="Arial" w:hAnsi="Arial" w:cs="Arial"/>
                <w:color w:val="000000"/>
                <w:sz w:val="22"/>
                <w:szCs w:val="22"/>
              </w:rPr>
            </w:pPr>
            <w:r w:rsidRPr="009A6666">
              <w:rPr>
                <w:rFonts w:ascii="Arial" w:hAnsi="Arial" w:cs="Arial"/>
                <w:color w:val="000000"/>
                <w:sz w:val="22"/>
                <w:szCs w:val="22"/>
              </w:rPr>
              <w:t>Promoção, proteção e recuperação dos pacientes;</w:t>
            </w:r>
          </w:p>
          <w:p w14:paraId="78291413" w14:textId="77777777" w:rsidR="009A6666" w:rsidRPr="009A6666" w:rsidRDefault="009A6666" w:rsidP="009A6666">
            <w:pPr>
              <w:pStyle w:val="PargrafodaLista"/>
              <w:numPr>
                <w:ilvl w:val="0"/>
                <w:numId w:val="25"/>
              </w:numPr>
              <w:tabs>
                <w:tab w:val="left" w:pos="259"/>
              </w:tabs>
              <w:suppressAutoHyphens w:val="0"/>
              <w:spacing w:line="276" w:lineRule="auto"/>
              <w:ind w:left="0" w:firstLine="29"/>
              <w:rPr>
                <w:rFonts w:ascii="Arial" w:hAnsi="Arial" w:cs="Arial"/>
                <w:color w:val="000000"/>
                <w:sz w:val="22"/>
                <w:szCs w:val="22"/>
              </w:rPr>
            </w:pPr>
            <w:r w:rsidRPr="009A6666">
              <w:rPr>
                <w:rFonts w:ascii="Arial" w:hAnsi="Arial" w:cs="Arial"/>
                <w:color w:val="000000"/>
                <w:sz w:val="22"/>
                <w:szCs w:val="22"/>
              </w:rPr>
              <w:t>Qualidade dos serviços prestados pelas Unidades Hospitalares;</w:t>
            </w:r>
          </w:p>
          <w:p w14:paraId="5AF41F5A" w14:textId="77777777" w:rsidR="009A6666" w:rsidRPr="009A6666" w:rsidRDefault="009A6666" w:rsidP="009A6666">
            <w:pPr>
              <w:pStyle w:val="PargrafodaLista"/>
              <w:numPr>
                <w:ilvl w:val="0"/>
                <w:numId w:val="25"/>
              </w:numPr>
              <w:tabs>
                <w:tab w:val="left" w:pos="259"/>
              </w:tabs>
              <w:suppressAutoHyphens w:val="0"/>
              <w:spacing w:line="276" w:lineRule="auto"/>
              <w:ind w:left="0" w:firstLine="29"/>
              <w:rPr>
                <w:rFonts w:ascii="Arial" w:hAnsi="Arial" w:cs="Arial"/>
                <w:color w:val="000000"/>
                <w:sz w:val="22"/>
                <w:szCs w:val="22"/>
              </w:rPr>
            </w:pPr>
            <w:r w:rsidRPr="009A6666">
              <w:rPr>
                <w:rFonts w:ascii="Arial" w:hAnsi="Arial" w:cs="Arial"/>
                <w:color w:val="000000"/>
                <w:sz w:val="22"/>
                <w:szCs w:val="22"/>
              </w:rPr>
              <w:t>Garantir o provisionamento dos estoques;</w:t>
            </w:r>
          </w:p>
          <w:p w14:paraId="6263A2AC" w14:textId="77777777" w:rsidR="009A6666" w:rsidRPr="009A6666" w:rsidRDefault="009A6666" w:rsidP="009A6666">
            <w:pPr>
              <w:pStyle w:val="PargrafodaLista"/>
              <w:numPr>
                <w:ilvl w:val="0"/>
                <w:numId w:val="25"/>
              </w:numPr>
              <w:tabs>
                <w:tab w:val="left" w:pos="259"/>
              </w:tabs>
              <w:suppressAutoHyphens w:val="0"/>
              <w:spacing w:line="276" w:lineRule="auto"/>
              <w:ind w:left="0" w:firstLine="29"/>
              <w:rPr>
                <w:rFonts w:ascii="Arial" w:hAnsi="Arial" w:cs="Arial"/>
                <w:color w:val="000000"/>
                <w:sz w:val="22"/>
                <w:szCs w:val="22"/>
              </w:rPr>
            </w:pPr>
            <w:r w:rsidRPr="009A6666">
              <w:rPr>
                <w:rFonts w:ascii="Arial" w:hAnsi="Arial" w:cs="Arial"/>
                <w:color w:val="000000"/>
                <w:sz w:val="22"/>
                <w:szCs w:val="22"/>
              </w:rPr>
              <w:t>Prover a garantia de início e termino dos tratamentos farmacológicos;</w:t>
            </w:r>
          </w:p>
          <w:p w14:paraId="23649EAA" w14:textId="77777777" w:rsidR="009A6666" w:rsidRPr="009A6666" w:rsidRDefault="009A6666" w:rsidP="009A6666">
            <w:pPr>
              <w:pStyle w:val="PargrafodaLista"/>
              <w:numPr>
                <w:ilvl w:val="0"/>
                <w:numId w:val="25"/>
              </w:numPr>
              <w:tabs>
                <w:tab w:val="left" w:pos="259"/>
              </w:tabs>
              <w:suppressAutoHyphens w:val="0"/>
              <w:spacing w:line="276" w:lineRule="auto"/>
              <w:ind w:left="0" w:firstLine="29"/>
              <w:rPr>
                <w:rFonts w:ascii="Arial" w:hAnsi="Arial" w:cs="Arial"/>
                <w:color w:val="000000"/>
                <w:sz w:val="22"/>
                <w:szCs w:val="22"/>
              </w:rPr>
            </w:pPr>
            <w:r w:rsidRPr="009A6666">
              <w:rPr>
                <w:rFonts w:ascii="Arial" w:hAnsi="Arial" w:cs="Arial"/>
                <w:color w:val="000000"/>
                <w:sz w:val="22"/>
                <w:szCs w:val="22"/>
              </w:rPr>
              <w:t>Execução dos protocolos clínicos.</w:t>
            </w:r>
            <w:r w:rsidRPr="009A6666">
              <w:rPr>
                <w:rFonts w:ascii="Arial" w:hAnsi="Arial" w:cs="Arial"/>
                <w:sz w:val="22"/>
                <w:szCs w:val="22"/>
              </w:rPr>
              <w:t xml:space="preserve"> </w:t>
            </w:r>
          </w:p>
        </w:tc>
      </w:tr>
    </w:tbl>
    <w:p w14:paraId="1C5B7C04" w14:textId="58125771" w:rsidR="009A6666" w:rsidRDefault="009A6666" w:rsidP="009A6666">
      <w:pPr>
        <w:spacing w:line="360" w:lineRule="auto"/>
        <w:ind w:firstLine="851"/>
        <w:jc w:val="both"/>
        <w:rPr>
          <w:rFonts w:cs="Arial"/>
          <w:color w:val="000000"/>
          <w:sz w:val="24"/>
          <w:szCs w:val="24"/>
        </w:rPr>
      </w:pPr>
    </w:p>
    <w:p w14:paraId="52B166D0" w14:textId="77777777" w:rsidR="009564E3" w:rsidRPr="000D59CA" w:rsidRDefault="009564E3" w:rsidP="009A6666">
      <w:pPr>
        <w:spacing w:line="360" w:lineRule="auto"/>
        <w:ind w:firstLine="851"/>
        <w:jc w:val="both"/>
        <w:rPr>
          <w:rFonts w:cs="Arial"/>
          <w:color w:val="000000"/>
          <w:sz w:val="24"/>
          <w:szCs w:val="24"/>
        </w:rPr>
      </w:pPr>
    </w:p>
    <w:p w14:paraId="3D2B976C" w14:textId="77777777" w:rsidR="009A6666" w:rsidRPr="009A6666" w:rsidRDefault="009A6666" w:rsidP="009A6666">
      <w:pPr>
        <w:spacing w:after="103" w:line="360" w:lineRule="auto"/>
        <w:ind w:firstLine="851"/>
        <w:jc w:val="both"/>
        <w:rPr>
          <w:rFonts w:ascii="Arial" w:hAnsi="Arial" w:cs="Arial"/>
          <w:b/>
          <w:bCs/>
          <w:szCs w:val="24"/>
        </w:rPr>
      </w:pPr>
      <w:r w:rsidRPr="009A6666">
        <w:rPr>
          <w:rFonts w:ascii="Arial" w:hAnsi="Arial" w:cs="Arial"/>
          <w:b/>
          <w:bCs/>
          <w:szCs w:val="24"/>
        </w:rPr>
        <w:t>DA VIABILIDADE DA CONTRATAÇÃO</w:t>
      </w:r>
    </w:p>
    <w:p w14:paraId="4C5CE978" w14:textId="77777777" w:rsidR="009A6666" w:rsidRPr="009A6666" w:rsidRDefault="009A6666" w:rsidP="009A6666">
      <w:pPr>
        <w:spacing w:after="103" w:line="360" w:lineRule="auto"/>
        <w:ind w:firstLine="851"/>
        <w:jc w:val="both"/>
        <w:rPr>
          <w:rFonts w:ascii="Arial" w:hAnsi="Arial" w:cs="Arial"/>
          <w:szCs w:val="24"/>
        </w:rPr>
      </w:pPr>
      <w:r w:rsidRPr="009A6666">
        <w:rPr>
          <w:rFonts w:ascii="Arial" w:hAnsi="Arial" w:cs="Arial"/>
          <w:szCs w:val="24"/>
        </w:rPr>
        <w:t>A presente aquisição busca executar atividades com o fim de atingir as metas estabelecidas para as Unidades geridas no Plano Operativo do Contrato de Gestão nº1/2021.</w:t>
      </w:r>
    </w:p>
    <w:p w14:paraId="23757544" w14:textId="77777777" w:rsidR="009A6666" w:rsidRPr="009A6666" w:rsidRDefault="009A6666" w:rsidP="009A6666">
      <w:pPr>
        <w:spacing w:line="360" w:lineRule="auto"/>
        <w:ind w:firstLine="1134"/>
        <w:jc w:val="both"/>
        <w:rPr>
          <w:rFonts w:ascii="Arial" w:hAnsi="Arial" w:cs="Arial"/>
          <w:szCs w:val="24"/>
        </w:rPr>
      </w:pPr>
      <w:r w:rsidRPr="009A6666">
        <w:rPr>
          <w:rFonts w:ascii="Arial" w:hAnsi="Arial" w:cs="Arial"/>
          <w:szCs w:val="24"/>
        </w:rPr>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p>
    <w:p w14:paraId="137C520D" w14:textId="788C69D0" w:rsidR="00EF63FB" w:rsidRPr="009A6666" w:rsidRDefault="00EF63FB" w:rsidP="009A6666">
      <w:pPr>
        <w:pStyle w:val="Standard"/>
        <w:widowControl/>
        <w:tabs>
          <w:tab w:val="left" w:pos="-3186"/>
        </w:tabs>
        <w:spacing w:line="360" w:lineRule="auto"/>
        <w:jc w:val="both"/>
        <w:rPr>
          <w:rFonts w:ascii="Arial" w:eastAsia="Arial" w:hAnsi="Arial" w:cs="Arial"/>
          <w:b/>
          <w:bCs/>
          <w:color w:val="000000" w:themeColor="text1"/>
          <w:sz w:val="22"/>
        </w:rPr>
      </w:pPr>
    </w:p>
    <w:p w14:paraId="53A055E7" w14:textId="4EE071D8" w:rsidR="00624DA7" w:rsidRPr="0084772B" w:rsidRDefault="00624DA7" w:rsidP="0084772B">
      <w:pPr>
        <w:spacing w:after="0" w:line="360" w:lineRule="auto"/>
        <w:jc w:val="both"/>
        <w:rPr>
          <w:rFonts w:ascii="Arial" w:hAnsi="Arial" w:cs="Arial"/>
          <w:color w:val="000000" w:themeColor="text1"/>
        </w:rPr>
      </w:pPr>
      <w:r w:rsidRPr="0084772B">
        <w:rPr>
          <w:rFonts w:ascii="Arial" w:eastAsia="Arial" w:hAnsi="Arial" w:cs="Arial"/>
          <w:b/>
          <w:bCs/>
          <w:color w:val="000000" w:themeColor="text1"/>
        </w:rPr>
        <w:t>3. PESQUISA DE PREÇOS</w:t>
      </w:r>
    </w:p>
    <w:p w14:paraId="065B7D20" w14:textId="0F3A86F7" w:rsidR="00AA4A85" w:rsidRPr="0084772B" w:rsidRDefault="00171153"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 xml:space="preserve">3.1 Para a formação dos preços máximos foi realizada ampla pesquisa de preços, em conformidade com o disposto no art. 9º, incisos </w:t>
      </w:r>
      <w:proofErr w:type="spellStart"/>
      <w:r w:rsidR="009564E3">
        <w:rPr>
          <w:rFonts w:ascii="Arial" w:hAnsi="Arial" w:cs="Arial"/>
          <w:color w:val="000000" w:themeColor="text1"/>
          <w:sz w:val="22"/>
          <w:szCs w:val="22"/>
        </w:rPr>
        <w:t>l</w:t>
      </w:r>
      <w:r w:rsidRPr="0084772B">
        <w:rPr>
          <w:rFonts w:ascii="Arial" w:hAnsi="Arial" w:cs="Arial"/>
          <w:color w:val="000000" w:themeColor="text1"/>
          <w:sz w:val="22"/>
          <w:szCs w:val="22"/>
        </w:rPr>
        <w:t>I</w:t>
      </w:r>
      <w:proofErr w:type="spellEnd"/>
      <w:r w:rsidRPr="0084772B">
        <w:rPr>
          <w:rFonts w:ascii="Arial" w:hAnsi="Arial" w:cs="Arial"/>
          <w:color w:val="000000" w:themeColor="text1"/>
          <w:sz w:val="22"/>
          <w:szCs w:val="22"/>
        </w:rPr>
        <w:t xml:space="preserve"> ao V, do Decreto Estadual n.º 4.993/2016</w:t>
      </w:r>
      <w:r w:rsidR="00126813" w:rsidRPr="0084772B">
        <w:rPr>
          <w:rFonts w:ascii="Arial" w:hAnsi="Arial" w:cs="Arial"/>
          <w:color w:val="000000" w:themeColor="text1"/>
          <w:sz w:val="22"/>
          <w:szCs w:val="22"/>
        </w:rPr>
        <w:t>.</w:t>
      </w:r>
    </w:p>
    <w:p w14:paraId="6AC9C68E" w14:textId="1C7554ED" w:rsidR="00126813" w:rsidRPr="0084772B" w:rsidRDefault="005553E9" w:rsidP="0084772B">
      <w:pPr>
        <w:pStyle w:val="PargrafodaLista"/>
        <w:spacing w:line="360" w:lineRule="auto"/>
        <w:ind w:left="0"/>
        <w:jc w:val="both"/>
        <w:rPr>
          <w:rFonts w:ascii="Arial" w:hAnsi="Arial" w:cs="Arial"/>
          <w:sz w:val="22"/>
          <w:szCs w:val="22"/>
        </w:rPr>
      </w:pPr>
      <w:r w:rsidRPr="0084772B">
        <w:rPr>
          <w:rFonts w:ascii="Arial" w:hAnsi="Arial" w:cs="Arial"/>
          <w:sz w:val="22"/>
          <w:szCs w:val="22"/>
        </w:rPr>
        <w:t xml:space="preserve">Critério utilizado: </w:t>
      </w:r>
      <w:r w:rsidRPr="003720E3">
        <w:rPr>
          <w:rFonts w:ascii="Arial" w:hAnsi="Arial" w:cs="Arial"/>
          <w:sz w:val="22"/>
          <w:szCs w:val="22"/>
        </w:rPr>
        <w:t>MENOR PREÇO.</w:t>
      </w:r>
    </w:p>
    <w:p w14:paraId="02DF5943" w14:textId="77777777" w:rsidR="004C6D01" w:rsidRPr="0084772B" w:rsidRDefault="004C6D01" w:rsidP="0084772B">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lastRenderedPageBreak/>
        <w:t>4 PARCELAMENTO DO OBJETO</w:t>
      </w:r>
    </w:p>
    <w:p w14:paraId="532BCF61" w14:textId="1A71C575" w:rsidR="00D13C11" w:rsidRPr="00087A1E" w:rsidRDefault="00AA4A85" w:rsidP="00D13C11">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rPr>
        <w:t>4.1</w:t>
      </w:r>
      <w:r w:rsidRPr="0084772B">
        <w:rPr>
          <w:rFonts w:ascii="Arial" w:hAnsi="Arial" w:cs="Arial"/>
          <w:color w:val="000000" w:themeColor="text1"/>
        </w:rPr>
        <w:t xml:space="preserve"> </w:t>
      </w:r>
      <w:r w:rsidR="00D13C11" w:rsidRPr="00CF5C80">
        <w:rPr>
          <w:rFonts w:ascii="Arial" w:hAnsi="Arial" w:cs="Arial"/>
          <w:color w:val="000000" w:themeColor="text1"/>
          <w:sz w:val="22"/>
          <w:szCs w:val="22"/>
        </w:rPr>
        <w:t>Cada lote será composto por um único item</w:t>
      </w:r>
      <w:r w:rsidR="00CA0586">
        <w:rPr>
          <w:rFonts w:ascii="Arial" w:hAnsi="Arial" w:cs="Arial"/>
          <w:color w:val="000000" w:themeColor="text1"/>
          <w:sz w:val="22"/>
          <w:szCs w:val="22"/>
        </w:rPr>
        <w:t>.</w:t>
      </w:r>
    </w:p>
    <w:p w14:paraId="6E6C03AA" w14:textId="52D86872" w:rsidR="005553E9" w:rsidRPr="0084772B" w:rsidRDefault="005553E9" w:rsidP="00D13C11">
      <w:pPr>
        <w:spacing w:after="0" w:line="360" w:lineRule="auto"/>
        <w:jc w:val="both"/>
        <w:rPr>
          <w:rFonts w:ascii="Arial" w:hAnsi="Arial" w:cs="Arial"/>
          <w:color w:val="000000" w:themeColor="text1"/>
        </w:rPr>
      </w:pPr>
    </w:p>
    <w:p w14:paraId="7FBF1272" w14:textId="4CEDF06F" w:rsidR="00AA4A85"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5 SUSTENTABILIDADE</w:t>
      </w:r>
    </w:p>
    <w:p w14:paraId="02781F94" w14:textId="35602ADC" w:rsidR="00C46875" w:rsidRPr="00C46875" w:rsidRDefault="00C46875" w:rsidP="00C46875">
      <w:pPr>
        <w:autoSpaceDE w:val="0"/>
        <w:autoSpaceDN w:val="0"/>
        <w:adjustRightInd w:val="0"/>
        <w:spacing w:after="0" w:line="360" w:lineRule="auto"/>
        <w:rPr>
          <w:rFonts w:ascii="Arial" w:hAnsi="Arial" w:cs="Arial"/>
          <w:iCs/>
          <w:color w:val="00000A"/>
          <w:lang w:eastAsia="pt-BR"/>
        </w:rPr>
      </w:pPr>
      <w:r w:rsidRPr="00C46875">
        <w:rPr>
          <w:rFonts w:ascii="Arial" w:hAnsi="Arial" w:cs="Arial"/>
          <w:iCs/>
          <w:color w:val="00000A"/>
          <w:lang w:eastAsia="pt-BR"/>
        </w:rPr>
        <w:t xml:space="preserve">A contratação prevista </w:t>
      </w:r>
      <w:proofErr w:type="gramStart"/>
      <w:r w:rsidRPr="00C46875">
        <w:rPr>
          <w:rFonts w:ascii="Arial" w:hAnsi="Arial" w:cs="Arial"/>
          <w:iCs/>
          <w:color w:val="00000A"/>
          <w:lang w:eastAsia="pt-BR"/>
        </w:rPr>
        <w:t>neste edital demanda</w:t>
      </w:r>
      <w:proofErr w:type="gramEnd"/>
      <w:r w:rsidRPr="00C46875">
        <w:rPr>
          <w:rFonts w:ascii="Arial" w:hAnsi="Arial" w:cs="Arial"/>
          <w:iCs/>
          <w:color w:val="00000A"/>
          <w:lang w:eastAsia="pt-BR"/>
        </w:rPr>
        <w:t xml:space="preserve"> que as empresas contratadas adotem as seguintes práticas de sustentabilidade, quando couber, em atendimento ao art. 48 do Decreto Estadual n</w:t>
      </w:r>
      <w:r w:rsidR="00830B48">
        <w:rPr>
          <w:rFonts w:ascii="Arial" w:hAnsi="Arial" w:cs="Arial"/>
          <w:iCs/>
          <w:color w:val="00000A"/>
          <w:lang w:eastAsia="pt-BR"/>
        </w:rPr>
        <w:t>º</w:t>
      </w:r>
      <w:r w:rsidRPr="00C46875">
        <w:rPr>
          <w:rFonts w:ascii="Arial" w:hAnsi="Arial" w:cs="Arial"/>
          <w:iCs/>
          <w:color w:val="00000A"/>
          <w:lang w:eastAsia="pt-BR"/>
        </w:rPr>
        <w:t>. 4.993/16:</w:t>
      </w:r>
    </w:p>
    <w:p w14:paraId="1276C435"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 -</w:t>
      </w:r>
      <w:r w:rsidRPr="00691CA0">
        <w:rPr>
          <w:rFonts w:ascii="Arial" w:hAnsi="Arial" w:cs="Arial"/>
          <w:sz w:val="22"/>
          <w:szCs w:val="20"/>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 -</w:t>
      </w:r>
      <w:r w:rsidRPr="00691CA0">
        <w:rPr>
          <w:rFonts w:ascii="Arial" w:hAnsi="Arial" w:cs="Arial"/>
          <w:sz w:val="22"/>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tais como mercúrio (Hg), chumbo (</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1CD232A5"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até R$ 80.000,00 (oitenta mil reais) serão destinados exclusivamente à participação de 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46EDB40A" w14:textId="77777777" w:rsidR="005E0425" w:rsidRDefault="005E0425" w:rsidP="000B4345">
      <w:pPr>
        <w:autoSpaceDE w:val="0"/>
        <w:autoSpaceDN w:val="0"/>
        <w:adjustRightInd w:val="0"/>
        <w:spacing w:after="0" w:line="360" w:lineRule="auto"/>
        <w:jc w:val="both"/>
        <w:rPr>
          <w:rFonts w:ascii="Arial" w:hAnsi="Arial" w:cs="Arial"/>
          <w:color w:val="00000A"/>
          <w:lang w:eastAsia="pt-BR"/>
        </w:rPr>
      </w:pP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0C072896" w14:textId="77777777" w:rsidR="00171153" w:rsidRPr="0084772B" w:rsidRDefault="00171153" w:rsidP="0084772B">
      <w:pPr>
        <w:pStyle w:val="PargrafodaLista"/>
        <w:spacing w:line="360" w:lineRule="auto"/>
        <w:ind w:left="0"/>
        <w:jc w:val="both"/>
        <w:rPr>
          <w:rFonts w:ascii="Arial" w:hAnsi="Arial" w:cs="Arial"/>
          <w:color w:val="000000" w:themeColor="text1"/>
          <w:sz w:val="22"/>
          <w:szCs w:val="22"/>
        </w:rPr>
      </w:pPr>
    </w:p>
    <w:p w14:paraId="00978C72"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lastRenderedPageBreak/>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1481C36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 </w:t>
      </w:r>
      <w:r w:rsidRPr="0084772B">
        <w:rPr>
          <w:rFonts w:ascii="Arial" w:hAnsi="Arial" w:cs="Arial"/>
          <w:color w:val="000000" w:themeColor="text1"/>
        </w:rPr>
        <w:t>São obrigações do Contratado:</w:t>
      </w:r>
    </w:p>
    <w:p w14:paraId="5132B7B0" w14:textId="77777777" w:rsidR="000930A1" w:rsidRPr="0084772B" w:rsidRDefault="000930A1" w:rsidP="0084772B">
      <w:pPr>
        <w:shd w:val="clear" w:color="auto" w:fill="FFFFFF"/>
        <w:spacing w:after="0" w:line="360" w:lineRule="auto"/>
        <w:jc w:val="both"/>
        <w:rPr>
          <w:rFonts w:ascii="Arial" w:hAnsi="Arial" w:cs="Arial"/>
          <w:b/>
          <w:bCs/>
          <w:color w:val="000000" w:themeColor="text1"/>
        </w:rPr>
      </w:pPr>
      <w:r w:rsidRPr="0084772B">
        <w:rPr>
          <w:rFonts w:ascii="Arial" w:hAnsi="Arial" w:cs="Arial"/>
          <w:b/>
          <w:bCs/>
          <w:color w:val="000000" w:themeColor="text1"/>
        </w:rPr>
        <w:t>8.1.1</w:t>
      </w:r>
      <w:r w:rsidRPr="0084772B">
        <w:rPr>
          <w:rFonts w:ascii="Arial" w:hAnsi="Arial" w:cs="Arial"/>
          <w:color w:val="000000" w:themeColor="text1"/>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84772B">
        <w:rPr>
          <w:rFonts w:ascii="Arial" w:hAnsi="Arial" w:cs="Arial"/>
          <w:color w:val="000000" w:themeColor="text1"/>
          <w:shd w:val="clear" w:color="auto" w:fill="FFFFFF"/>
        </w:rPr>
        <w:t>;</w:t>
      </w:r>
    </w:p>
    <w:p w14:paraId="21BDB048"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8.1.2 </w:t>
      </w:r>
      <w:r w:rsidRPr="0084772B">
        <w:rPr>
          <w:rFonts w:ascii="Arial" w:hAnsi="Arial" w:cs="Arial"/>
          <w:color w:val="000000" w:themeColor="text1"/>
        </w:rPr>
        <w:t>responsabilizar-se pelos vícios e danos decorrentes do objeto, de acordo com os artigos 12, 13 e 17 a 27, do Código de Defesa do Consumidor (Lei nº 8.078, de 1990);</w:t>
      </w:r>
    </w:p>
    <w:p w14:paraId="05208FBA"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8.1.3</w:t>
      </w:r>
      <w:r w:rsidRPr="0084772B">
        <w:rPr>
          <w:rFonts w:ascii="Arial" w:hAnsi="Arial" w:cs="Arial"/>
          <w:color w:val="000000" w:themeColor="text1"/>
        </w:rPr>
        <w:t xml:space="preserve"> substituir, reparar ou corrigir, às suas expensas, no prazo fixado no Termo de Referência, o objeto com avarias ou defeitos;</w:t>
      </w:r>
    </w:p>
    <w:p w14:paraId="4D3696A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8.1.4</w:t>
      </w:r>
      <w:r w:rsidRPr="0084772B">
        <w:rPr>
          <w:rFonts w:ascii="Arial" w:hAnsi="Arial" w:cs="Arial"/>
          <w:color w:val="000000" w:themeColor="text1"/>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8.1.5 </w:t>
      </w:r>
      <w:r w:rsidRPr="0084772B">
        <w:rPr>
          <w:rFonts w:ascii="Arial" w:hAnsi="Arial" w:cs="Arial"/>
          <w:color w:val="000000" w:themeColor="text1"/>
        </w:rPr>
        <w:t>indicar preposto para representá-la durante a execução do contrato;</w:t>
      </w:r>
    </w:p>
    <w:p w14:paraId="169E7C07"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8.1.6</w:t>
      </w:r>
      <w:r w:rsidRPr="0084772B">
        <w:rPr>
          <w:rFonts w:ascii="Arial" w:hAnsi="Arial" w:cs="Arial"/>
          <w:color w:val="000000" w:themeColor="text1"/>
        </w:rPr>
        <w:t xml:space="preserve"> manter durante toda a vigência do contrato, em compatibilidade com as obrigações assumidas, todas as condições de habilitação e qualificação exigidas na licitação;</w:t>
      </w:r>
    </w:p>
    <w:p w14:paraId="5908C6D9"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8.1.7</w:t>
      </w:r>
      <w:r w:rsidRPr="0084772B">
        <w:rPr>
          <w:rFonts w:ascii="Arial" w:hAnsi="Arial" w:cs="Arial"/>
          <w:color w:val="000000" w:themeColor="text1"/>
        </w:rPr>
        <w:t xml:space="preserve"> manter atualizado os seus dados no Cadastro Unificado de Fornecedores do Estado do Paraná, conforme legislação vigente;</w:t>
      </w:r>
    </w:p>
    <w:p w14:paraId="40C15669" w14:textId="0C5ED553"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8.1.8</w:t>
      </w:r>
      <w:r w:rsidRPr="0084772B">
        <w:rPr>
          <w:rFonts w:ascii="Arial" w:hAnsi="Arial" w:cs="Arial"/>
          <w:color w:val="000000" w:themeColor="text1"/>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 </w:t>
      </w:r>
      <w:r w:rsidRPr="0084772B">
        <w:rPr>
          <w:rFonts w:ascii="Arial" w:hAnsi="Arial" w:cs="Arial"/>
          <w:color w:val="000000" w:themeColor="text1"/>
        </w:rPr>
        <w:t>São obrigações da Contratante:</w:t>
      </w:r>
    </w:p>
    <w:p w14:paraId="440E6B5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8.2.1</w:t>
      </w:r>
      <w:r w:rsidRPr="0084772B">
        <w:rPr>
          <w:rFonts w:ascii="Arial" w:hAnsi="Arial" w:cs="Arial"/>
          <w:color w:val="000000" w:themeColor="text1"/>
        </w:rPr>
        <w:t xml:space="preserve"> receber o objeto no prazo e condições estabelecidas neste edital e seus anexos;</w:t>
      </w:r>
    </w:p>
    <w:p w14:paraId="7839FF9D"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8.2.2 </w:t>
      </w:r>
      <w:r w:rsidRPr="0084772B">
        <w:rPr>
          <w:rFonts w:ascii="Arial" w:hAnsi="Arial" w:cs="Arial"/>
          <w:color w:val="000000" w:themeColor="text1"/>
        </w:rPr>
        <w:t>exigir o cumprimento de todas as obrigações assumidas pela Contratada, de acordo com as cláusulas contratuais e os termos de sua proposta;</w:t>
      </w:r>
    </w:p>
    <w:p w14:paraId="64101DA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8.2.3</w:t>
      </w:r>
      <w:r w:rsidRPr="0084772B">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8.2.4</w:t>
      </w:r>
      <w:r w:rsidRPr="0084772B">
        <w:rPr>
          <w:rFonts w:ascii="Arial" w:hAnsi="Arial" w:cs="Arial"/>
          <w:color w:val="000000" w:themeColor="text1"/>
        </w:rPr>
        <w:t xml:space="preserve"> comunicar à Contratada, por escrito, as imperfeições, falhas ou irregularidades verificadas, fixando prazo para a sua correção;</w:t>
      </w:r>
    </w:p>
    <w:p w14:paraId="2C05220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lastRenderedPageBreak/>
        <w:t xml:space="preserve">8.2.5 </w:t>
      </w:r>
      <w:r w:rsidRPr="0084772B">
        <w:rPr>
          <w:rFonts w:ascii="Arial" w:hAnsi="Arial" w:cs="Arial"/>
          <w:color w:val="000000" w:themeColor="text1"/>
        </w:rPr>
        <w:t>acompanhar e fiscalizar o cumprimento das obrigações da Contratada, através de comissão ou de servidores especialmente designados;</w:t>
      </w:r>
    </w:p>
    <w:p w14:paraId="5BF67E9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8.2.6</w:t>
      </w:r>
      <w:r w:rsidRPr="0084772B">
        <w:rPr>
          <w:rFonts w:ascii="Arial" w:hAnsi="Arial" w:cs="Arial"/>
          <w:color w:val="000000" w:themeColor="text1"/>
        </w:rPr>
        <w:t xml:space="preserve"> efetuar o pagamento à Contratada no valor correspondente ao fornecimento do objeto, no prazo e forma estabelecidos neste edital e seus anexos;</w:t>
      </w:r>
    </w:p>
    <w:p w14:paraId="1A644FB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8.2.7</w:t>
      </w:r>
      <w:r w:rsidRPr="0084772B">
        <w:rPr>
          <w:rFonts w:ascii="Arial" w:hAnsi="Arial" w:cs="Arial"/>
          <w:color w:val="000000" w:themeColor="text1"/>
        </w:rPr>
        <w:t xml:space="preserve"> efetuar as eventuais retenções tributárias devidas sobre o valor da nota fiscal e fatura fornecida pela Contratada, no que couber;</w:t>
      </w:r>
    </w:p>
    <w:p w14:paraId="1552CA91"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8.2.8</w:t>
      </w:r>
      <w:r w:rsidRPr="0084772B">
        <w:rPr>
          <w:rFonts w:ascii="Arial" w:hAnsi="Arial" w:cs="Arial"/>
          <w:color w:val="000000" w:themeColor="text1"/>
        </w:rPr>
        <w:t xml:space="preserve"> prestar as informações e os esclarecimentos que venham a ser solicitados pelo Contratado.</w:t>
      </w:r>
    </w:p>
    <w:p w14:paraId="70DE72D9" w14:textId="77777777" w:rsidR="00F44DE9" w:rsidRPr="0084772B" w:rsidRDefault="00F44DE9" w:rsidP="0084772B">
      <w:pPr>
        <w:spacing w:after="0" w:line="360" w:lineRule="auto"/>
        <w:jc w:val="both"/>
        <w:rPr>
          <w:rFonts w:ascii="Arial" w:hAnsi="Arial" w:cs="Arial"/>
          <w:b/>
          <w:bCs/>
          <w:color w:val="000000" w:themeColor="text1"/>
        </w:rPr>
      </w:pP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77777777"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9.4</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9.5</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7777777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t>9.6</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560D81A4" w14:textId="1C829CB4" w:rsidR="00AA4A85" w:rsidRPr="0084772B" w:rsidRDefault="00AA4A85" w:rsidP="00D13C11">
      <w:pPr>
        <w:spacing w:after="0" w:line="360" w:lineRule="auto"/>
        <w:jc w:val="both"/>
        <w:rPr>
          <w:rFonts w:ascii="Arial" w:hAnsi="Arial" w:cs="Arial"/>
          <w:color w:val="000000" w:themeColor="text1"/>
        </w:rPr>
      </w:pPr>
    </w:p>
    <w:p w14:paraId="5F33429F"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E8C730B" w14:textId="77777777" w:rsidR="00F44DE9" w:rsidRPr="0084772B" w:rsidRDefault="00F44DE9"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2820C424" w:rsidR="001C4DEB" w:rsidRDefault="001C4DEB" w:rsidP="0084772B">
      <w:pPr>
        <w:spacing w:after="0" w:line="360" w:lineRule="auto"/>
        <w:jc w:val="both"/>
        <w:rPr>
          <w:rFonts w:ascii="Arial" w:hAnsi="Arial" w:cs="Arial"/>
          <w:color w:val="000000" w:themeColor="text1"/>
        </w:rPr>
      </w:pPr>
    </w:p>
    <w:p w14:paraId="0C11711F" w14:textId="77777777" w:rsidR="005E0425" w:rsidRPr="0084772B" w:rsidRDefault="005E0425"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27626FA7"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12.1</w:t>
      </w:r>
      <w:r w:rsidRPr="0084772B">
        <w:rPr>
          <w:rFonts w:ascii="Arial" w:hAnsi="Arial" w:cs="Arial"/>
          <w:color w:val="000000" w:themeColor="text1"/>
        </w:rPr>
        <w:t xml:space="preserve"> O fornecedor somente poderá emitir a nota fiscal e providenciar a entrega do(s) produto (s) após a retirada da nota de empenho respectiva no órgão interessado, respeitando o prazo de entrega estabelecido. </w:t>
      </w:r>
      <w:r w:rsidR="004B5570" w:rsidRPr="0084772B">
        <w:rPr>
          <w:rFonts w:ascii="Arial" w:hAnsi="Arial" w:cs="Arial"/>
          <w:color w:val="000000" w:themeColor="text1"/>
        </w:rPr>
        <w:t xml:space="preserve"> </w:t>
      </w:r>
    </w:p>
    <w:p w14:paraId="4376BF69"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12.2</w:t>
      </w:r>
      <w:r w:rsidRPr="0084772B">
        <w:rPr>
          <w:rFonts w:ascii="Arial" w:hAnsi="Arial" w:cs="Arial"/>
          <w:color w:val="000000" w:themeColor="text1"/>
        </w:rPr>
        <w:t xml:space="preserve"> O recebimento provisório será feito no local da entrega, no prazo máximo de 05 (cinco) dias, contados a partir da entrega. </w:t>
      </w:r>
      <w:r w:rsidR="004B5570" w:rsidRPr="0084772B">
        <w:rPr>
          <w:rFonts w:ascii="Arial" w:hAnsi="Arial" w:cs="Arial"/>
          <w:color w:val="000000" w:themeColor="text1"/>
        </w:rPr>
        <w:t xml:space="preserve"> </w:t>
      </w:r>
    </w:p>
    <w:p w14:paraId="0CCB746A" w14:textId="1EACBDC3"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lastRenderedPageBreak/>
        <w:t>12.3</w:t>
      </w:r>
      <w:r w:rsidRPr="0084772B">
        <w:rPr>
          <w:rFonts w:ascii="Arial" w:hAnsi="Arial" w:cs="Arial"/>
          <w:color w:val="000000" w:themeColor="text1"/>
        </w:rPr>
        <w:t xml:space="preserve"> O recebimento definitivo será feito no prazo de até 1</w:t>
      </w:r>
      <w:r w:rsidR="000F013A">
        <w:rPr>
          <w:rFonts w:ascii="Arial" w:hAnsi="Arial" w:cs="Arial"/>
          <w:color w:val="000000" w:themeColor="text1"/>
        </w:rPr>
        <w:t>5</w:t>
      </w:r>
      <w:r w:rsidRPr="0084772B">
        <w:rPr>
          <w:rFonts w:ascii="Arial" w:hAnsi="Arial" w:cs="Arial"/>
          <w:color w:val="000000" w:themeColor="text1"/>
        </w:rPr>
        <w:t xml:space="preserve"> (</w:t>
      </w:r>
      <w:r w:rsidR="000F013A">
        <w:rPr>
          <w:rFonts w:ascii="Arial" w:hAnsi="Arial" w:cs="Arial"/>
          <w:color w:val="000000" w:themeColor="text1"/>
        </w:rPr>
        <w:t>quinze</w:t>
      </w:r>
      <w:r w:rsidRPr="0084772B">
        <w:rPr>
          <w:rFonts w:ascii="Arial" w:hAnsi="Arial" w:cs="Arial"/>
          <w:color w:val="000000" w:themeColor="text1"/>
        </w:rPr>
        <w:t xml:space="preserve">) </w:t>
      </w:r>
      <w:proofErr w:type="gramStart"/>
      <w:r w:rsidRPr="0084772B">
        <w:rPr>
          <w:rFonts w:ascii="Arial" w:hAnsi="Arial" w:cs="Arial"/>
          <w:color w:val="000000" w:themeColor="text1"/>
        </w:rPr>
        <w:t>dias</w:t>
      </w:r>
      <w:proofErr w:type="gramEnd"/>
      <w:r w:rsidRPr="0084772B">
        <w:rPr>
          <w:rFonts w:ascii="Arial" w:hAnsi="Arial" w:cs="Arial"/>
          <w:color w:val="000000" w:themeColor="text1"/>
        </w:rPr>
        <w:t xml:space="preserve"> </w:t>
      </w:r>
      <w:proofErr w:type="spellStart"/>
      <w:r w:rsidRPr="0084772B">
        <w:rPr>
          <w:rFonts w:ascii="Arial" w:hAnsi="Arial" w:cs="Arial"/>
          <w:color w:val="000000" w:themeColor="text1"/>
        </w:rPr>
        <w:t>dias</w:t>
      </w:r>
      <w:proofErr w:type="spellEnd"/>
      <w:r w:rsidRPr="0084772B">
        <w:rPr>
          <w:rFonts w:ascii="Arial" w:hAnsi="Arial" w:cs="Arial"/>
          <w:color w:val="000000" w:themeColor="text1"/>
        </w:rPr>
        <w:t xml:space="preserve"> da expedição do termo de recebimento provisório, depois de conferidos os itens recebidos, consignando eventuais intercorrências. </w:t>
      </w:r>
      <w:r w:rsidR="004B5570" w:rsidRPr="0084772B">
        <w:rPr>
          <w:rFonts w:ascii="Arial" w:hAnsi="Arial" w:cs="Arial"/>
          <w:color w:val="000000" w:themeColor="text1"/>
        </w:rPr>
        <w:t xml:space="preserve"> </w:t>
      </w:r>
    </w:p>
    <w:p w14:paraId="2294C125" w14:textId="60689B80"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12.4</w:t>
      </w:r>
      <w:r w:rsidRPr="0084772B">
        <w:rPr>
          <w:rFonts w:ascii="Arial" w:hAnsi="Arial" w:cs="Arial"/>
          <w:color w:val="000000" w:themeColor="text1"/>
        </w:rPr>
        <w:t xml:space="preserve"> O recebimento do(s) bem(</w:t>
      </w:r>
      <w:proofErr w:type="spellStart"/>
      <w:r w:rsidRPr="0084772B">
        <w:rPr>
          <w:rFonts w:ascii="Arial" w:hAnsi="Arial" w:cs="Arial"/>
          <w:color w:val="000000" w:themeColor="text1"/>
        </w:rPr>
        <w:t>ns</w:t>
      </w:r>
      <w:proofErr w:type="spellEnd"/>
      <w:r w:rsidRPr="0084772B">
        <w:rPr>
          <w:rFonts w:ascii="Arial" w:hAnsi="Arial" w:cs="Arial"/>
          <w:color w:val="000000" w:themeColor="text1"/>
        </w:rPr>
        <w:t xml:space="preserve">) de valor superior </w:t>
      </w:r>
      <w:r w:rsidR="000B6129">
        <w:rPr>
          <w:rFonts w:ascii="Arial" w:hAnsi="Arial" w:cs="Arial"/>
          <w:color w:val="000000" w:themeColor="text1"/>
          <w:shd w:val="clear" w:color="auto" w:fill="FFFFFF"/>
        </w:rPr>
        <w:t>176</w:t>
      </w:r>
      <w:r w:rsidR="000B6129" w:rsidRPr="00144329">
        <w:rPr>
          <w:rFonts w:ascii="Arial" w:hAnsi="Arial" w:cs="Arial"/>
          <w:color w:val="000000" w:themeColor="text1"/>
          <w:shd w:val="clear" w:color="auto" w:fill="FFFFFF"/>
        </w:rPr>
        <w:t>.000,00 (</w:t>
      </w:r>
      <w:r w:rsidR="000B6129" w:rsidRPr="00296DA1">
        <w:rPr>
          <w:rFonts w:ascii="Arial" w:hAnsi="Arial" w:cs="Arial"/>
        </w:rPr>
        <w:t>cento e setenta e seis mil</w:t>
      </w:r>
      <w:r w:rsidR="000B6129" w:rsidRPr="00144329">
        <w:rPr>
          <w:rFonts w:ascii="Arial" w:hAnsi="Arial" w:cs="Arial"/>
          <w:color w:val="000000" w:themeColor="text1"/>
          <w:shd w:val="clear" w:color="auto" w:fill="FFFFFF"/>
        </w:rPr>
        <w:t xml:space="preserve"> reais)</w:t>
      </w:r>
      <w:r w:rsidR="000B6129">
        <w:rPr>
          <w:rFonts w:ascii="Arial" w:hAnsi="Arial" w:cs="Arial"/>
          <w:color w:val="000000" w:themeColor="text1"/>
          <w:shd w:val="clear" w:color="auto" w:fill="FFFFFF"/>
        </w:rPr>
        <w:t xml:space="preserve"> </w:t>
      </w:r>
      <w:r w:rsidRPr="0084772B">
        <w:rPr>
          <w:rFonts w:ascii="Arial" w:hAnsi="Arial" w:cs="Arial"/>
          <w:color w:val="000000" w:themeColor="text1"/>
        </w:rPr>
        <w:t>será confiado a uma comissão de, no mínimo, 3 (três) membros, designados pela autoridade competente.</w:t>
      </w:r>
    </w:p>
    <w:p w14:paraId="576607B7" w14:textId="6AADA4B6" w:rsidR="00171153" w:rsidRPr="0084772B" w:rsidRDefault="00171153" w:rsidP="0084772B">
      <w:pPr>
        <w:spacing w:after="0" w:line="360" w:lineRule="auto"/>
        <w:jc w:val="both"/>
        <w:rPr>
          <w:rFonts w:ascii="Arial" w:hAnsi="Arial" w:cs="Arial"/>
          <w:b/>
          <w:bCs/>
          <w:color w:val="000000" w:themeColor="text1"/>
        </w:rPr>
      </w:pPr>
      <w:r w:rsidRPr="0084772B">
        <w:rPr>
          <w:rFonts w:ascii="Arial" w:hAnsi="Arial" w:cs="Arial"/>
          <w:b/>
          <w:color w:val="000000" w:themeColor="text1"/>
        </w:rPr>
        <w:t>12.5</w:t>
      </w:r>
      <w:r w:rsidRPr="0084772B">
        <w:rPr>
          <w:rFonts w:ascii="Arial" w:hAnsi="Arial" w:cs="Arial"/>
          <w:color w:val="000000" w:themeColor="text1"/>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00DE6C49" w:rsidR="00171153" w:rsidRDefault="00171153" w:rsidP="0084772B">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2"/>
          <w:szCs w:val="22"/>
        </w:rPr>
      </w:pPr>
      <w:r w:rsidRPr="0084772B">
        <w:rPr>
          <w:rFonts w:ascii="Arial" w:hAnsi="Arial" w:cs="Arial"/>
          <w:b/>
          <w:color w:val="000000" w:themeColor="text1"/>
          <w:sz w:val="22"/>
          <w:szCs w:val="22"/>
        </w:rPr>
        <w:t>12.6</w:t>
      </w:r>
      <w:r w:rsidRPr="0084772B">
        <w:rPr>
          <w:rFonts w:ascii="Arial" w:hAnsi="Arial" w:cs="Arial"/>
          <w:color w:val="000000" w:themeColor="text1"/>
          <w:sz w:val="22"/>
          <w:szCs w:val="22"/>
        </w:rPr>
        <w:t xml:space="preserve"> A Contratada deverá ter disponibilidade e capacidade de entregar o objeto nos endereços relacionados no item 1.3 e no Anexo VI, conforme as condições e as necessidades do licitante.</w:t>
      </w:r>
    </w:p>
    <w:p w14:paraId="6FECD20E" w14:textId="77777777" w:rsidR="002021AF" w:rsidRPr="002021AF" w:rsidRDefault="002021AF" w:rsidP="002021AF">
      <w:pPr>
        <w:pStyle w:val="Corpodetexto"/>
      </w:pPr>
    </w:p>
    <w:p w14:paraId="58D2E2E5" w14:textId="5823D01B" w:rsidR="00A440E7" w:rsidRDefault="00A222CF" w:rsidP="00A440E7">
      <w:pPr>
        <w:pStyle w:val="PargrafodaLista"/>
        <w:numPr>
          <w:ilvl w:val="0"/>
          <w:numId w:val="7"/>
        </w:numPr>
        <w:autoSpaceDE w:val="0"/>
        <w:autoSpaceDN w:val="0"/>
        <w:adjustRightInd w:val="0"/>
        <w:spacing w:line="360" w:lineRule="auto"/>
        <w:ind w:left="431" w:hanging="431"/>
        <w:contextualSpacing/>
        <w:jc w:val="both"/>
        <w:rPr>
          <w:rFonts w:ascii="Arial" w:hAnsi="Arial" w:cs="Arial"/>
          <w:b/>
          <w:bCs/>
          <w:sz w:val="22"/>
          <w:szCs w:val="22"/>
        </w:rPr>
      </w:pPr>
      <w:bookmarkStart w:id="4" w:name="_Hlk110323478"/>
      <w:r w:rsidRPr="0084772B">
        <w:rPr>
          <w:rFonts w:ascii="Arial" w:hAnsi="Arial" w:cs="Arial"/>
          <w:b/>
          <w:bCs/>
          <w:sz w:val="22"/>
          <w:szCs w:val="22"/>
        </w:rPr>
        <w:t>12.7 Gestor e fiscal do contrato:</w:t>
      </w:r>
    </w:p>
    <w:p w14:paraId="204005C2" w14:textId="77777777" w:rsidR="0078266D" w:rsidRPr="002021AF" w:rsidRDefault="0078266D" w:rsidP="0078266D">
      <w:pPr>
        <w:pStyle w:val="PargrafodaLista"/>
        <w:numPr>
          <w:ilvl w:val="0"/>
          <w:numId w:val="7"/>
        </w:numPr>
        <w:tabs>
          <w:tab w:val="num" w:pos="0"/>
          <w:tab w:val="left" w:pos="567"/>
          <w:tab w:val="left" w:pos="2835"/>
          <w:tab w:val="left" w:pos="3969"/>
          <w:tab w:val="right" w:pos="8222"/>
        </w:tabs>
        <w:spacing w:line="360" w:lineRule="auto"/>
        <w:ind w:right="425" w:hanging="72"/>
        <w:rPr>
          <w:rFonts w:ascii="Arial" w:hAnsi="Arial" w:cs="Arial"/>
          <w:b/>
          <w:sz w:val="22"/>
          <w:szCs w:val="22"/>
        </w:rPr>
      </w:pPr>
      <w:r w:rsidRPr="002021AF">
        <w:rPr>
          <w:rFonts w:ascii="Arial" w:hAnsi="Arial" w:cs="Arial"/>
          <w:b/>
          <w:sz w:val="22"/>
          <w:szCs w:val="22"/>
        </w:rPr>
        <w:t>Comissão Permanente de Recebimento e Liquidação de Materiais da FUNEAS</w:t>
      </w:r>
    </w:p>
    <w:p w14:paraId="38CFB81D" w14:textId="77777777" w:rsidR="005E0425" w:rsidRPr="002021AF" w:rsidRDefault="005E0425" w:rsidP="005E0425">
      <w:pPr>
        <w:pStyle w:val="PargrafodaLista"/>
        <w:numPr>
          <w:ilvl w:val="0"/>
          <w:numId w:val="7"/>
        </w:numPr>
        <w:tabs>
          <w:tab w:val="num" w:pos="0"/>
          <w:tab w:val="left" w:pos="567"/>
          <w:tab w:val="left" w:pos="2835"/>
          <w:tab w:val="left" w:pos="3969"/>
          <w:tab w:val="right" w:pos="8222"/>
        </w:tabs>
        <w:spacing w:line="360" w:lineRule="auto"/>
        <w:ind w:right="425" w:hanging="72"/>
        <w:jc w:val="both"/>
        <w:rPr>
          <w:rFonts w:ascii="Arial" w:hAnsi="Arial" w:cs="Arial"/>
          <w:sz w:val="22"/>
          <w:szCs w:val="22"/>
        </w:rPr>
      </w:pPr>
      <w:bookmarkStart w:id="5" w:name="_Hlk94876545"/>
      <w:bookmarkEnd w:id="4"/>
      <w:r w:rsidRPr="002021AF">
        <w:rPr>
          <w:rFonts w:ascii="Arial" w:hAnsi="Arial" w:cs="Arial"/>
          <w:b/>
          <w:sz w:val="22"/>
          <w:szCs w:val="22"/>
        </w:rPr>
        <w:t xml:space="preserve">Gestor: </w:t>
      </w:r>
      <w:r w:rsidRPr="002021AF">
        <w:rPr>
          <w:rFonts w:ascii="Arial" w:hAnsi="Arial" w:cs="Arial"/>
          <w:sz w:val="22"/>
          <w:szCs w:val="22"/>
        </w:rPr>
        <w:t xml:space="preserve">Daiane Regina Feliz – Gerente de Abastecimento </w:t>
      </w:r>
      <w:r w:rsidRPr="002021AF">
        <w:rPr>
          <w:rFonts w:ascii="Arial" w:hAnsi="Arial" w:cs="Arial"/>
          <w:b/>
          <w:sz w:val="22"/>
          <w:szCs w:val="22"/>
        </w:rPr>
        <w:t>FUNEAS</w:t>
      </w:r>
    </w:p>
    <w:p w14:paraId="13D70F06" w14:textId="77777777" w:rsidR="005E0425" w:rsidRPr="002021AF" w:rsidRDefault="005E0425" w:rsidP="005E0425">
      <w:pPr>
        <w:pStyle w:val="PargrafodaLista"/>
        <w:numPr>
          <w:ilvl w:val="0"/>
          <w:numId w:val="7"/>
        </w:numPr>
        <w:tabs>
          <w:tab w:val="num" w:pos="0"/>
          <w:tab w:val="left" w:pos="567"/>
          <w:tab w:val="left" w:pos="2835"/>
          <w:tab w:val="left" w:pos="3969"/>
          <w:tab w:val="right" w:pos="8222"/>
        </w:tabs>
        <w:spacing w:line="360" w:lineRule="auto"/>
        <w:ind w:right="425" w:hanging="72"/>
        <w:jc w:val="both"/>
        <w:rPr>
          <w:rFonts w:ascii="Arial" w:hAnsi="Arial" w:cs="Arial"/>
          <w:sz w:val="22"/>
          <w:szCs w:val="22"/>
        </w:rPr>
      </w:pPr>
      <w:r w:rsidRPr="002021AF">
        <w:rPr>
          <w:rFonts w:ascii="Arial" w:hAnsi="Arial" w:cs="Arial"/>
          <w:b/>
          <w:sz w:val="22"/>
          <w:szCs w:val="22"/>
        </w:rPr>
        <w:t>CPF:</w:t>
      </w:r>
      <w:r w:rsidRPr="002021AF">
        <w:rPr>
          <w:rFonts w:ascii="Arial" w:hAnsi="Arial" w:cs="Arial"/>
          <w:sz w:val="22"/>
          <w:szCs w:val="22"/>
        </w:rPr>
        <w:t xml:space="preserve"> 043.942.969-27</w:t>
      </w:r>
    </w:p>
    <w:p w14:paraId="3C680E87" w14:textId="77777777" w:rsidR="005E0425" w:rsidRPr="002021AF" w:rsidRDefault="005E0425" w:rsidP="005E0425">
      <w:pPr>
        <w:pStyle w:val="PargrafodaLista"/>
        <w:numPr>
          <w:ilvl w:val="0"/>
          <w:numId w:val="7"/>
        </w:numPr>
        <w:tabs>
          <w:tab w:val="num" w:pos="0"/>
          <w:tab w:val="left" w:pos="567"/>
          <w:tab w:val="left" w:pos="2835"/>
          <w:tab w:val="left" w:pos="3969"/>
          <w:tab w:val="right" w:pos="8222"/>
        </w:tabs>
        <w:spacing w:before="120" w:line="360" w:lineRule="auto"/>
        <w:ind w:right="425" w:hanging="72"/>
        <w:jc w:val="both"/>
        <w:rPr>
          <w:rFonts w:ascii="Arial" w:hAnsi="Arial" w:cs="Arial"/>
          <w:sz w:val="22"/>
          <w:szCs w:val="22"/>
        </w:rPr>
      </w:pPr>
      <w:r w:rsidRPr="002021AF">
        <w:rPr>
          <w:rFonts w:ascii="Arial" w:hAnsi="Arial" w:cs="Arial"/>
          <w:b/>
          <w:sz w:val="22"/>
          <w:szCs w:val="22"/>
        </w:rPr>
        <w:t xml:space="preserve">Fiscal: </w:t>
      </w:r>
      <w:r w:rsidRPr="002021AF">
        <w:rPr>
          <w:rFonts w:ascii="Arial" w:hAnsi="Arial" w:cs="Arial"/>
          <w:sz w:val="22"/>
          <w:szCs w:val="22"/>
        </w:rPr>
        <w:t>Francinelia Santos Ferreira Xavier</w:t>
      </w:r>
      <w:r w:rsidRPr="002021AF">
        <w:rPr>
          <w:rFonts w:ascii="Arial" w:hAnsi="Arial" w:cs="Arial"/>
          <w:b/>
          <w:sz w:val="22"/>
          <w:szCs w:val="22"/>
        </w:rPr>
        <w:t xml:space="preserve"> </w:t>
      </w:r>
      <w:r w:rsidRPr="002021AF">
        <w:rPr>
          <w:rFonts w:ascii="Arial" w:hAnsi="Arial" w:cs="Arial"/>
          <w:sz w:val="22"/>
          <w:szCs w:val="22"/>
        </w:rPr>
        <w:t xml:space="preserve">– Assistente Nível I </w:t>
      </w:r>
      <w:r w:rsidRPr="002021AF">
        <w:rPr>
          <w:rFonts w:ascii="Arial" w:hAnsi="Arial" w:cs="Arial"/>
          <w:b/>
          <w:sz w:val="22"/>
          <w:szCs w:val="22"/>
        </w:rPr>
        <w:t>FUNEAS</w:t>
      </w:r>
    </w:p>
    <w:p w14:paraId="7F023777" w14:textId="77777777" w:rsidR="005E0425" w:rsidRPr="002021AF" w:rsidRDefault="005E0425" w:rsidP="005E0425">
      <w:pPr>
        <w:pStyle w:val="PargrafodaLista"/>
        <w:numPr>
          <w:ilvl w:val="0"/>
          <w:numId w:val="7"/>
        </w:numPr>
        <w:tabs>
          <w:tab w:val="num" w:pos="0"/>
          <w:tab w:val="left" w:pos="567"/>
          <w:tab w:val="left" w:pos="2835"/>
          <w:tab w:val="left" w:pos="3969"/>
          <w:tab w:val="right" w:pos="8222"/>
        </w:tabs>
        <w:spacing w:line="360" w:lineRule="auto"/>
        <w:ind w:right="425" w:hanging="72"/>
        <w:jc w:val="both"/>
        <w:rPr>
          <w:rFonts w:ascii="Arial" w:hAnsi="Arial" w:cs="Arial"/>
          <w:sz w:val="22"/>
          <w:szCs w:val="22"/>
        </w:rPr>
      </w:pPr>
      <w:r w:rsidRPr="002021AF">
        <w:rPr>
          <w:rFonts w:ascii="Arial" w:hAnsi="Arial" w:cs="Arial"/>
          <w:b/>
          <w:sz w:val="22"/>
          <w:szCs w:val="22"/>
        </w:rPr>
        <w:t>CPF:</w:t>
      </w:r>
      <w:r w:rsidRPr="002021AF">
        <w:rPr>
          <w:rFonts w:ascii="Arial" w:hAnsi="Arial" w:cs="Arial"/>
          <w:sz w:val="22"/>
          <w:szCs w:val="22"/>
        </w:rPr>
        <w:t xml:space="preserve"> 033.072.009-09</w:t>
      </w:r>
    </w:p>
    <w:p w14:paraId="1316DC0D" w14:textId="77777777" w:rsidR="005E0425" w:rsidRPr="002021AF" w:rsidRDefault="005E0425" w:rsidP="005E0425">
      <w:pPr>
        <w:pStyle w:val="PargrafodaLista"/>
        <w:numPr>
          <w:ilvl w:val="0"/>
          <w:numId w:val="7"/>
        </w:numPr>
        <w:tabs>
          <w:tab w:val="num" w:pos="0"/>
          <w:tab w:val="left" w:pos="567"/>
          <w:tab w:val="left" w:pos="2835"/>
          <w:tab w:val="left" w:pos="3969"/>
          <w:tab w:val="right" w:pos="8222"/>
        </w:tabs>
        <w:spacing w:before="120" w:line="360" w:lineRule="auto"/>
        <w:ind w:right="425" w:hanging="72"/>
        <w:rPr>
          <w:rFonts w:ascii="Arial" w:hAnsi="Arial" w:cs="Arial"/>
          <w:sz w:val="22"/>
          <w:szCs w:val="22"/>
        </w:rPr>
      </w:pPr>
      <w:r w:rsidRPr="002021AF">
        <w:rPr>
          <w:rFonts w:ascii="Arial" w:hAnsi="Arial" w:cs="Arial"/>
          <w:b/>
          <w:sz w:val="22"/>
          <w:szCs w:val="22"/>
        </w:rPr>
        <w:t xml:space="preserve">Fiscal: </w:t>
      </w:r>
      <w:r w:rsidRPr="002021AF">
        <w:rPr>
          <w:rFonts w:ascii="Arial" w:hAnsi="Arial" w:cs="Arial"/>
          <w:sz w:val="22"/>
          <w:szCs w:val="22"/>
        </w:rPr>
        <w:t>Ana Carla dos Santos</w:t>
      </w:r>
      <w:r w:rsidRPr="002021AF">
        <w:rPr>
          <w:rFonts w:ascii="Arial" w:hAnsi="Arial" w:cs="Arial"/>
          <w:b/>
          <w:sz w:val="22"/>
          <w:szCs w:val="22"/>
        </w:rPr>
        <w:t xml:space="preserve"> </w:t>
      </w:r>
      <w:r w:rsidRPr="002021AF">
        <w:rPr>
          <w:rFonts w:ascii="Arial" w:hAnsi="Arial" w:cs="Arial"/>
          <w:sz w:val="22"/>
          <w:szCs w:val="22"/>
        </w:rPr>
        <w:t xml:space="preserve">– Assistente Nível II </w:t>
      </w:r>
      <w:r w:rsidRPr="002021AF">
        <w:rPr>
          <w:rFonts w:ascii="Arial" w:hAnsi="Arial" w:cs="Arial"/>
          <w:b/>
          <w:sz w:val="22"/>
          <w:szCs w:val="22"/>
        </w:rPr>
        <w:t>FUNEAS</w:t>
      </w:r>
    </w:p>
    <w:p w14:paraId="6F049019" w14:textId="77777777" w:rsidR="005E0425" w:rsidRPr="002021AF" w:rsidRDefault="005E0425" w:rsidP="005E0425">
      <w:pPr>
        <w:pStyle w:val="PargrafodaLista"/>
        <w:numPr>
          <w:ilvl w:val="0"/>
          <w:numId w:val="7"/>
        </w:numPr>
        <w:tabs>
          <w:tab w:val="num" w:pos="0"/>
          <w:tab w:val="left" w:pos="567"/>
          <w:tab w:val="left" w:pos="2835"/>
          <w:tab w:val="left" w:pos="3969"/>
          <w:tab w:val="right" w:pos="8222"/>
        </w:tabs>
        <w:spacing w:line="360" w:lineRule="auto"/>
        <w:ind w:right="425" w:hanging="72"/>
        <w:rPr>
          <w:rFonts w:ascii="Arial" w:hAnsi="Arial" w:cs="Arial"/>
          <w:sz w:val="22"/>
          <w:szCs w:val="22"/>
        </w:rPr>
      </w:pPr>
      <w:r w:rsidRPr="002021AF">
        <w:rPr>
          <w:rFonts w:ascii="Arial" w:hAnsi="Arial" w:cs="Arial"/>
          <w:b/>
          <w:sz w:val="22"/>
          <w:szCs w:val="22"/>
        </w:rPr>
        <w:t>CPF:</w:t>
      </w:r>
      <w:r w:rsidRPr="002021AF">
        <w:rPr>
          <w:rFonts w:ascii="Arial" w:hAnsi="Arial" w:cs="Arial"/>
          <w:sz w:val="22"/>
          <w:szCs w:val="22"/>
        </w:rPr>
        <w:t xml:space="preserve"> 949.727.969-87</w:t>
      </w:r>
    </w:p>
    <w:p w14:paraId="2F1A5903" w14:textId="02BFB197" w:rsidR="005E0425" w:rsidRDefault="005E0425" w:rsidP="00FB1D5E">
      <w:pPr>
        <w:shd w:val="clear" w:color="auto" w:fill="FFFFFF"/>
        <w:spacing w:after="0" w:line="360" w:lineRule="auto"/>
        <w:jc w:val="both"/>
        <w:rPr>
          <w:rFonts w:ascii="Arial" w:hAnsi="Arial" w:cs="Arial"/>
          <w:color w:val="000000" w:themeColor="text1"/>
          <w:lang w:eastAsia="pt-BR"/>
        </w:rPr>
      </w:pPr>
    </w:p>
    <w:p w14:paraId="0F0CB018" w14:textId="77777777" w:rsidR="002021AF" w:rsidRPr="00103874" w:rsidRDefault="002021AF" w:rsidP="00FB1D5E">
      <w:pPr>
        <w:shd w:val="clear" w:color="auto" w:fill="FFFFFF"/>
        <w:spacing w:after="0" w:line="360" w:lineRule="auto"/>
        <w:jc w:val="both"/>
        <w:rPr>
          <w:rFonts w:ascii="Arial" w:hAnsi="Arial" w:cs="Arial"/>
          <w:color w:val="000000" w:themeColor="text1"/>
          <w:lang w:eastAsia="pt-BR"/>
        </w:rPr>
      </w:pPr>
    </w:p>
    <w:bookmarkEnd w:id="5"/>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0514ED75"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D13C11" w:rsidRPr="00216D97">
        <w:rPr>
          <w:rFonts w:ascii="Arial" w:hAnsi="Arial" w:cs="Arial"/>
          <w:iCs/>
          <w:sz w:val="22"/>
          <w:szCs w:val="22"/>
          <w:lang w:eastAsia="pt-BR"/>
        </w:rPr>
        <w:t xml:space="preserve">AQUISIÇÃO </w:t>
      </w:r>
      <w:r w:rsidR="00936236" w:rsidRPr="00216D97">
        <w:rPr>
          <w:rFonts w:ascii="Arial" w:hAnsi="Arial" w:cs="Arial"/>
          <w:iCs/>
          <w:lang w:eastAsia="pt-BR"/>
        </w:rPr>
        <w:t xml:space="preserve">DE </w:t>
      </w:r>
      <w:r w:rsidR="00936236">
        <w:rPr>
          <w:rFonts w:ascii="Arial" w:hAnsi="Arial" w:cs="Arial"/>
          <w:iCs/>
          <w:lang w:eastAsia="pt-BR"/>
        </w:rPr>
        <w:t xml:space="preserve">MEDICAMENTOS – PSICOTRÓPICOS 1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236CCCA3"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5D73E2" w:rsidRPr="00216D97">
        <w:rPr>
          <w:rFonts w:ascii="Arial" w:hAnsi="Arial" w:cs="Arial"/>
          <w:iCs/>
          <w:lang w:eastAsia="pt-BR"/>
        </w:rPr>
        <w:t xml:space="preserve">AQUISIÇÃO DE </w:t>
      </w:r>
      <w:r w:rsidR="00936236">
        <w:rPr>
          <w:rFonts w:ascii="Arial" w:hAnsi="Arial" w:cs="Arial"/>
          <w:iCs/>
          <w:lang w:eastAsia="pt-BR"/>
        </w:rPr>
        <w:t>MEDICAMENTOS – PSICOTRÓPICOS 1</w:t>
      </w:r>
      <w:r w:rsidR="00D13C11">
        <w:rPr>
          <w:rFonts w:ascii="Arial" w:hAnsi="Arial" w:cs="Arial"/>
          <w:iCs/>
          <w:lang w:eastAsia="pt-BR"/>
        </w:rPr>
        <w:t xml:space="preserve"> </w:t>
      </w:r>
      <w:r w:rsidRPr="0084772B">
        <w:rPr>
          <w:rFonts w:ascii="Arial" w:hAnsi="Arial" w:cs="Arial"/>
        </w:rPr>
        <w:t xml:space="preserve">não apresenta vulto ou complexidade que o torne restrito no universo de possíveis licitantes, e assim, sendo uma contratações de objeto comum, a formação de consórcio acarreta efeito oposto a ampla </w:t>
      </w:r>
      <w:r w:rsidRPr="0084772B">
        <w:rPr>
          <w:rFonts w:ascii="Arial" w:hAnsi="Arial" w:cs="Arial"/>
        </w:rPr>
        <w:lastRenderedPageBreak/>
        <w:t>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84772B">
      <w:pPr>
        <w:spacing w:after="0" w:line="360" w:lineRule="auto"/>
        <w:jc w:val="both"/>
        <w:rPr>
          <w:rFonts w:ascii="Arial" w:hAnsi="Arial" w:cs="Arial"/>
          <w:color w:val="000000" w:themeColor="text1"/>
        </w:rPr>
      </w:pPr>
    </w:p>
    <w:p w14:paraId="7B088363" w14:textId="161A3E4A" w:rsidR="00AA4A85" w:rsidRPr="0084772B" w:rsidRDefault="00AA4A85" w:rsidP="0084772B">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84772B">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84772B">
      <w:pPr>
        <w:spacing w:after="0" w:line="360" w:lineRule="auto"/>
        <w:jc w:val="both"/>
        <w:rPr>
          <w:rFonts w:ascii="Arial" w:hAnsi="Arial" w:cs="Arial"/>
          <w:color w:val="000000" w:themeColor="text1"/>
        </w:rPr>
      </w:pPr>
    </w:p>
    <w:p w14:paraId="3FE68571" w14:textId="7B6B796E"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84772B">
      <w:pPr>
        <w:spacing w:after="57"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75A6EB1B"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7B2B69DC" w:rsidR="00AA4A85" w:rsidRPr="0084772B" w:rsidRDefault="00C52F0D" w:rsidP="0084772B">
      <w:pPr>
        <w:pStyle w:val="PargrafodaLista"/>
        <w:spacing w:line="360" w:lineRule="auto"/>
        <w:ind w:left="0"/>
        <w:jc w:val="center"/>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 xml:space="preserve">, </w:t>
      </w:r>
      <w:r w:rsidR="00C82173">
        <w:rPr>
          <w:rStyle w:val="Fontepargpadro1"/>
          <w:rFonts w:ascii="Arial" w:eastAsia="Microsoft YaHei" w:hAnsi="Arial" w:cs="Arial"/>
          <w:bCs/>
          <w:color w:val="000000" w:themeColor="text1"/>
          <w:sz w:val="22"/>
          <w:szCs w:val="22"/>
        </w:rPr>
        <w:t>06</w:t>
      </w:r>
      <w:r w:rsidR="00235623">
        <w:rPr>
          <w:rStyle w:val="Fontepargpadro1"/>
          <w:rFonts w:ascii="Arial" w:eastAsia="Microsoft YaHei" w:hAnsi="Arial" w:cs="Arial"/>
          <w:bCs/>
          <w:color w:val="000000" w:themeColor="text1"/>
          <w:sz w:val="22"/>
          <w:szCs w:val="22"/>
        </w:rPr>
        <w:t xml:space="preserve"> </w:t>
      </w:r>
      <w:r w:rsidR="00AA4A85" w:rsidRPr="0084772B">
        <w:rPr>
          <w:rStyle w:val="Fontepargpadro1"/>
          <w:rFonts w:ascii="Arial" w:eastAsia="Microsoft YaHei" w:hAnsi="Arial" w:cs="Arial"/>
          <w:bCs/>
          <w:color w:val="000000" w:themeColor="text1"/>
          <w:sz w:val="22"/>
          <w:szCs w:val="22"/>
        </w:rPr>
        <w:t xml:space="preserve">de </w:t>
      </w:r>
      <w:r w:rsidR="00C82173">
        <w:rPr>
          <w:rStyle w:val="Fontepargpadro1"/>
          <w:rFonts w:ascii="Arial" w:eastAsia="Microsoft YaHei" w:hAnsi="Arial" w:cs="Arial"/>
          <w:bCs/>
          <w:color w:val="000000" w:themeColor="text1"/>
          <w:sz w:val="22"/>
          <w:szCs w:val="22"/>
        </w:rPr>
        <w:t>janeiro</w:t>
      </w:r>
      <w:r w:rsidR="00AA4A85" w:rsidRPr="0084772B">
        <w:rPr>
          <w:rStyle w:val="Fontepargpadro1"/>
          <w:rFonts w:ascii="Arial" w:eastAsia="Microsoft YaHei" w:hAnsi="Arial" w:cs="Arial"/>
          <w:bCs/>
          <w:color w:val="000000" w:themeColor="text1"/>
          <w:sz w:val="22"/>
          <w:szCs w:val="22"/>
        </w:rPr>
        <w:t xml:space="preserve"> de 202</w:t>
      </w:r>
      <w:r w:rsidR="00C82173">
        <w:rPr>
          <w:rStyle w:val="Fontepargpadro1"/>
          <w:rFonts w:ascii="Arial" w:eastAsia="Microsoft YaHei" w:hAnsi="Arial" w:cs="Arial"/>
          <w:bCs/>
          <w:color w:val="000000" w:themeColor="text1"/>
          <w:sz w:val="22"/>
          <w:szCs w:val="22"/>
        </w:rPr>
        <w:t>3</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0A1B15F2" w:rsidR="00CB55D7" w:rsidRPr="00D37965" w:rsidRDefault="00C82173" w:rsidP="003915B2">
      <w:pPr>
        <w:pStyle w:val="PargrafodaLista"/>
        <w:spacing w:line="360" w:lineRule="auto"/>
        <w:ind w:left="0"/>
        <w:jc w:val="center"/>
        <w:rPr>
          <w:rFonts w:ascii="Arial" w:hAnsi="Arial" w:cs="Arial"/>
          <w:color w:val="000000" w:themeColor="text1"/>
        </w:rPr>
      </w:pPr>
      <w:r>
        <w:rPr>
          <w:rStyle w:val="Fontepargpadro1"/>
          <w:rFonts w:ascii="Arial" w:eastAsia="Microsoft YaHei" w:hAnsi="Arial" w:cs="Arial"/>
          <w:b/>
          <w:bCs/>
          <w:color w:val="000000" w:themeColor="text1"/>
        </w:rPr>
        <w:t>Cristiane Marta Betiato</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3915B2">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3F1D9A84" w14:textId="2B455CD6" w:rsidR="003915B2" w:rsidRDefault="003915B2" w:rsidP="003915B2">
      <w:pPr>
        <w:pStyle w:val="PargrafodaLista"/>
        <w:spacing w:line="360" w:lineRule="auto"/>
        <w:ind w:left="0"/>
        <w:jc w:val="center"/>
        <w:rPr>
          <w:rStyle w:val="Fontepargpadro1"/>
          <w:rFonts w:ascii="Arial" w:eastAsia="Microsoft YaHei" w:hAnsi="Arial" w:cs="Arial"/>
          <w:b/>
          <w:bCs/>
          <w:color w:val="000000" w:themeColor="text1"/>
        </w:rPr>
      </w:pPr>
    </w:p>
    <w:p w14:paraId="1F074C32" w14:textId="77777777" w:rsidR="00813EB1" w:rsidRPr="00D37965" w:rsidRDefault="00813EB1"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04433103" w14:textId="7602D475" w:rsidR="00B32A33" w:rsidRDefault="00B32A33" w:rsidP="003915B2">
      <w:pPr>
        <w:spacing w:after="0" w:line="360" w:lineRule="auto"/>
        <w:jc w:val="center"/>
        <w:rPr>
          <w:rFonts w:ascii="Arial" w:eastAsia="Arial" w:hAnsi="Arial" w:cs="Arial"/>
          <w:b/>
          <w:sz w:val="20"/>
          <w:szCs w:val="20"/>
        </w:rPr>
      </w:pPr>
    </w:p>
    <w:p w14:paraId="659D727B" w14:textId="77777777" w:rsidR="00813EB1" w:rsidRPr="00D37965" w:rsidRDefault="00813EB1" w:rsidP="003915B2">
      <w:pPr>
        <w:spacing w:after="0" w:line="360" w:lineRule="auto"/>
        <w:jc w:val="center"/>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3915B2">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BDDF998" w14:textId="643DBAC3" w:rsidR="003915B2" w:rsidRDefault="003915B2" w:rsidP="003915B2">
      <w:pPr>
        <w:pStyle w:val="Standard"/>
        <w:spacing w:line="360" w:lineRule="auto"/>
        <w:jc w:val="center"/>
        <w:rPr>
          <w:rFonts w:ascii="Arial" w:hAnsi="Arial" w:cs="Arial"/>
          <w:color w:val="000000" w:themeColor="text1"/>
          <w:sz w:val="22"/>
          <w:szCs w:val="22"/>
        </w:rPr>
      </w:pP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706BD7C5"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Ana 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lastRenderedPageBreak/>
        <w:t>HRSWAP/FUNEAS/SESA</w:t>
      </w:r>
    </w:p>
    <w:p w14:paraId="0BFA67D3" w14:textId="494E260F" w:rsidR="003915B2" w:rsidRDefault="003915B2" w:rsidP="003915B2">
      <w:pPr>
        <w:pStyle w:val="Standard"/>
        <w:spacing w:line="360" w:lineRule="auto"/>
        <w:jc w:val="center"/>
        <w:rPr>
          <w:rFonts w:ascii="Arial" w:hAnsi="Arial" w:cs="Arial"/>
          <w:color w:val="000000" w:themeColor="text1"/>
          <w:sz w:val="22"/>
          <w:szCs w:val="22"/>
        </w:rPr>
      </w:pPr>
    </w:p>
    <w:p w14:paraId="5616DE85" w14:textId="77777777" w:rsidR="00813EB1" w:rsidRDefault="00813EB1" w:rsidP="003915B2">
      <w:pPr>
        <w:pStyle w:val="Standard"/>
        <w:spacing w:line="360" w:lineRule="auto"/>
        <w:jc w:val="center"/>
        <w:rPr>
          <w:rFonts w:ascii="Arial" w:hAnsi="Arial" w:cs="Arial"/>
          <w:color w:val="000000" w:themeColor="text1"/>
          <w:sz w:val="22"/>
          <w:szCs w:val="22"/>
        </w:rPr>
      </w:pPr>
    </w:p>
    <w:p w14:paraId="318D86D0" w14:textId="78DFACE8" w:rsidR="00FE0BE8" w:rsidRPr="00FE0BE8" w:rsidRDefault="0060168F"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9"/>
      <w:footerReference w:type="even" r:id="rId10"/>
      <w:footerReference w:type="default" r:id="rId11"/>
      <w:headerReference w:type="first" r:id="rId12"/>
      <w:footerReference w:type="first" r:id="rId13"/>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687397" w:rsidRDefault="00687397" w:rsidP="004A27F4">
      <w:pPr>
        <w:spacing w:after="0" w:line="240" w:lineRule="auto"/>
      </w:pPr>
      <w:r>
        <w:separator/>
      </w:r>
    </w:p>
  </w:endnote>
  <w:endnote w:type="continuationSeparator" w:id="0">
    <w:p w14:paraId="726D5478" w14:textId="77777777" w:rsidR="00687397" w:rsidRDefault="00687397"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687397" w:rsidRPr="00F77829" w:rsidRDefault="00687397">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687397" w:rsidRDefault="00687397"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687397" w:rsidRPr="00E82A40" w:rsidRDefault="00687397"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687397" w:rsidRPr="00E82A40" w:rsidRDefault="00687397"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687397" w:rsidRDefault="00687397">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687397" w:rsidRPr="00F77829" w:rsidRDefault="00687397">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687397" w:rsidRDefault="00687397">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687397" w:rsidRPr="008C6F0D" w:rsidRDefault="00687397"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687397" w:rsidRPr="008C6F0D" w:rsidRDefault="00687397"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687397" w:rsidRDefault="00687397">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687397" w:rsidRDefault="00687397"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687397" w:rsidRDefault="00687397" w:rsidP="004A27F4">
      <w:pPr>
        <w:spacing w:after="0" w:line="240" w:lineRule="auto"/>
      </w:pPr>
      <w:r>
        <w:separator/>
      </w:r>
    </w:p>
  </w:footnote>
  <w:footnote w:type="continuationSeparator" w:id="0">
    <w:p w14:paraId="0D246D65" w14:textId="77777777" w:rsidR="00687397" w:rsidRDefault="00687397"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687397" w:rsidRDefault="00687397">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687397" w:rsidRDefault="00687397">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C5B763E"/>
    <w:multiLevelType w:val="hybridMultilevel"/>
    <w:tmpl w:val="0A84D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8"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9"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0D15E5"/>
    <w:multiLevelType w:val="hybridMultilevel"/>
    <w:tmpl w:val="1994B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2"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4"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6"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41"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3"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5"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6"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2"/>
  </w:num>
  <w:num w:numId="3">
    <w:abstractNumId w:val="23"/>
  </w:num>
  <w:num w:numId="4">
    <w:abstractNumId w:val="27"/>
  </w:num>
  <w:num w:numId="5">
    <w:abstractNumId w:val="44"/>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25"/>
  </w:num>
  <w:num w:numId="13">
    <w:abstractNumId w:val="43"/>
  </w:num>
  <w:num w:numId="14">
    <w:abstractNumId w:val="34"/>
  </w:num>
  <w:num w:numId="15">
    <w:abstractNumId w:val="24"/>
  </w:num>
  <w:num w:numId="16">
    <w:abstractNumId w:val="45"/>
  </w:num>
  <w:num w:numId="17">
    <w:abstractNumId w:val="33"/>
  </w:num>
  <w:num w:numId="18">
    <w:abstractNumId w:val="40"/>
  </w:num>
  <w:num w:numId="19">
    <w:abstractNumId w:val="31"/>
  </w:num>
  <w:num w:numId="20">
    <w:abstractNumId w:val="42"/>
  </w:num>
  <w:num w:numId="21">
    <w:abstractNumId w:val="41"/>
  </w:num>
  <w:num w:numId="22">
    <w:abstractNumId w:val="38"/>
  </w:num>
  <w:num w:numId="23">
    <w:abstractNumId w:val="37"/>
  </w:num>
  <w:num w:numId="24">
    <w:abstractNumId w:val="39"/>
  </w:num>
  <w:num w:numId="25">
    <w:abstractNumId w:val="36"/>
  </w:num>
  <w:num w:numId="26">
    <w:abstractNumId w:val="26"/>
  </w:num>
  <w:num w:numId="2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2FF8"/>
    <w:rsid w:val="00003063"/>
    <w:rsid w:val="00003BC7"/>
    <w:rsid w:val="00004416"/>
    <w:rsid w:val="00004EF1"/>
    <w:rsid w:val="00005B6F"/>
    <w:rsid w:val="00006153"/>
    <w:rsid w:val="00006FD7"/>
    <w:rsid w:val="00011BB5"/>
    <w:rsid w:val="00012D66"/>
    <w:rsid w:val="00012F16"/>
    <w:rsid w:val="00014209"/>
    <w:rsid w:val="00014F88"/>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868"/>
    <w:rsid w:val="000310A9"/>
    <w:rsid w:val="00031C59"/>
    <w:rsid w:val="00033B06"/>
    <w:rsid w:val="00033E68"/>
    <w:rsid w:val="00035232"/>
    <w:rsid w:val="000365DA"/>
    <w:rsid w:val="00036F9A"/>
    <w:rsid w:val="0004122C"/>
    <w:rsid w:val="00041C39"/>
    <w:rsid w:val="000420E6"/>
    <w:rsid w:val="00042F6F"/>
    <w:rsid w:val="00043B8D"/>
    <w:rsid w:val="000447CA"/>
    <w:rsid w:val="00045734"/>
    <w:rsid w:val="00046326"/>
    <w:rsid w:val="0004757D"/>
    <w:rsid w:val="00050618"/>
    <w:rsid w:val="00051399"/>
    <w:rsid w:val="00051CB8"/>
    <w:rsid w:val="0005265D"/>
    <w:rsid w:val="00052FE1"/>
    <w:rsid w:val="00053E04"/>
    <w:rsid w:val="00054565"/>
    <w:rsid w:val="00055C77"/>
    <w:rsid w:val="00055DF2"/>
    <w:rsid w:val="00057368"/>
    <w:rsid w:val="000577D9"/>
    <w:rsid w:val="00060CA8"/>
    <w:rsid w:val="00061D68"/>
    <w:rsid w:val="00062608"/>
    <w:rsid w:val="00062830"/>
    <w:rsid w:val="00064A81"/>
    <w:rsid w:val="000663D3"/>
    <w:rsid w:val="00066C71"/>
    <w:rsid w:val="00070CA2"/>
    <w:rsid w:val="00071B4C"/>
    <w:rsid w:val="0007230E"/>
    <w:rsid w:val="000725E1"/>
    <w:rsid w:val="000761EE"/>
    <w:rsid w:val="000808F1"/>
    <w:rsid w:val="000817DC"/>
    <w:rsid w:val="00082AF3"/>
    <w:rsid w:val="00083517"/>
    <w:rsid w:val="000846CC"/>
    <w:rsid w:val="00085AC7"/>
    <w:rsid w:val="000860FC"/>
    <w:rsid w:val="000901B4"/>
    <w:rsid w:val="00093053"/>
    <w:rsid w:val="000930A1"/>
    <w:rsid w:val="00093906"/>
    <w:rsid w:val="00094D63"/>
    <w:rsid w:val="00097A55"/>
    <w:rsid w:val="000A22E4"/>
    <w:rsid w:val="000A24EF"/>
    <w:rsid w:val="000A28A8"/>
    <w:rsid w:val="000A2E07"/>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59A3"/>
    <w:rsid w:val="000D6610"/>
    <w:rsid w:val="000D66A4"/>
    <w:rsid w:val="000D77AF"/>
    <w:rsid w:val="000D7A13"/>
    <w:rsid w:val="000E0C6D"/>
    <w:rsid w:val="000E22F0"/>
    <w:rsid w:val="000E2E44"/>
    <w:rsid w:val="000E3487"/>
    <w:rsid w:val="000E532C"/>
    <w:rsid w:val="000E625C"/>
    <w:rsid w:val="000F013A"/>
    <w:rsid w:val="000F05D4"/>
    <w:rsid w:val="000F103F"/>
    <w:rsid w:val="000F1416"/>
    <w:rsid w:val="000F1A52"/>
    <w:rsid w:val="000F1E94"/>
    <w:rsid w:val="000F2C8E"/>
    <w:rsid w:val="000F2C9B"/>
    <w:rsid w:val="000F5170"/>
    <w:rsid w:val="000F5456"/>
    <w:rsid w:val="000F6F7F"/>
    <w:rsid w:val="00101642"/>
    <w:rsid w:val="00103EA5"/>
    <w:rsid w:val="00104630"/>
    <w:rsid w:val="00104E65"/>
    <w:rsid w:val="001050BB"/>
    <w:rsid w:val="0010526F"/>
    <w:rsid w:val="00105B08"/>
    <w:rsid w:val="001076AE"/>
    <w:rsid w:val="00107E32"/>
    <w:rsid w:val="00110B4B"/>
    <w:rsid w:val="0011149E"/>
    <w:rsid w:val="00111AEA"/>
    <w:rsid w:val="00111D7D"/>
    <w:rsid w:val="00113748"/>
    <w:rsid w:val="001138C3"/>
    <w:rsid w:val="00114675"/>
    <w:rsid w:val="00120536"/>
    <w:rsid w:val="0012213E"/>
    <w:rsid w:val="001223D8"/>
    <w:rsid w:val="0012284E"/>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5954"/>
    <w:rsid w:val="00155EEA"/>
    <w:rsid w:val="00156005"/>
    <w:rsid w:val="00156053"/>
    <w:rsid w:val="00156624"/>
    <w:rsid w:val="00157528"/>
    <w:rsid w:val="001576F0"/>
    <w:rsid w:val="001603D7"/>
    <w:rsid w:val="00161BB7"/>
    <w:rsid w:val="001628DE"/>
    <w:rsid w:val="0016388E"/>
    <w:rsid w:val="00163DA9"/>
    <w:rsid w:val="00163EA4"/>
    <w:rsid w:val="00164702"/>
    <w:rsid w:val="0016517D"/>
    <w:rsid w:val="0016591A"/>
    <w:rsid w:val="001659E0"/>
    <w:rsid w:val="00165C87"/>
    <w:rsid w:val="00165C8D"/>
    <w:rsid w:val="001664E1"/>
    <w:rsid w:val="00167D46"/>
    <w:rsid w:val="00167F06"/>
    <w:rsid w:val="0017082A"/>
    <w:rsid w:val="00171107"/>
    <w:rsid w:val="00171153"/>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51AD"/>
    <w:rsid w:val="001E6337"/>
    <w:rsid w:val="001F098C"/>
    <w:rsid w:val="001F0AC7"/>
    <w:rsid w:val="001F1A5D"/>
    <w:rsid w:val="001F306A"/>
    <w:rsid w:val="001F4A47"/>
    <w:rsid w:val="001F5823"/>
    <w:rsid w:val="001F5E45"/>
    <w:rsid w:val="001F6060"/>
    <w:rsid w:val="002014C5"/>
    <w:rsid w:val="002021AF"/>
    <w:rsid w:val="00203387"/>
    <w:rsid w:val="002033BA"/>
    <w:rsid w:val="0020352F"/>
    <w:rsid w:val="00204A1F"/>
    <w:rsid w:val="00204D3F"/>
    <w:rsid w:val="00205441"/>
    <w:rsid w:val="00205522"/>
    <w:rsid w:val="00206512"/>
    <w:rsid w:val="00213CE1"/>
    <w:rsid w:val="00216231"/>
    <w:rsid w:val="00216267"/>
    <w:rsid w:val="00216BA5"/>
    <w:rsid w:val="00216D97"/>
    <w:rsid w:val="0021768F"/>
    <w:rsid w:val="002209E7"/>
    <w:rsid w:val="00221498"/>
    <w:rsid w:val="00222C74"/>
    <w:rsid w:val="00224567"/>
    <w:rsid w:val="00224BED"/>
    <w:rsid w:val="00224CAB"/>
    <w:rsid w:val="002252E5"/>
    <w:rsid w:val="00226316"/>
    <w:rsid w:val="002266B2"/>
    <w:rsid w:val="00230144"/>
    <w:rsid w:val="00231906"/>
    <w:rsid w:val="0023213F"/>
    <w:rsid w:val="00232440"/>
    <w:rsid w:val="00232443"/>
    <w:rsid w:val="00233777"/>
    <w:rsid w:val="00233828"/>
    <w:rsid w:val="00235623"/>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868"/>
    <w:rsid w:val="00252FC2"/>
    <w:rsid w:val="002530F5"/>
    <w:rsid w:val="00253F63"/>
    <w:rsid w:val="00254110"/>
    <w:rsid w:val="0025420A"/>
    <w:rsid w:val="00254D45"/>
    <w:rsid w:val="002602DC"/>
    <w:rsid w:val="00261EBA"/>
    <w:rsid w:val="00262406"/>
    <w:rsid w:val="00264485"/>
    <w:rsid w:val="0026557C"/>
    <w:rsid w:val="002672AB"/>
    <w:rsid w:val="002672B7"/>
    <w:rsid w:val="00271134"/>
    <w:rsid w:val="00272F3D"/>
    <w:rsid w:val="00273AA0"/>
    <w:rsid w:val="00274097"/>
    <w:rsid w:val="00277BE4"/>
    <w:rsid w:val="00277E24"/>
    <w:rsid w:val="00280636"/>
    <w:rsid w:val="00280A86"/>
    <w:rsid w:val="002811B4"/>
    <w:rsid w:val="00281351"/>
    <w:rsid w:val="00282C0F"/>
    <w:rsid w:val="00284398"/>
    <w:rsid w:val="00284D99"/>
    <w:rsid w:val="002850C1"/>
    <w:rsid w:val="002907F4"/>
    <w:rsid w:val="00292306"/>
    <w:rsid w:val="00292AFF"/>
    <w:rsid w:val="002932A9"/>
    <w:rsid w:val="00293E84"/>
    <w:rsid w:val="002958FF"/>
    <w:rsid w:val="00297CB1"/>
    <w:rsid w:val="002A12C7"/>
    <w:rsid w:val="002A198A"/>
    <w:rsid w:val="002A1C79"/>
    <w:rsid w:val="002A1D41"/>
    <w:rsid w:val="002A5D2F"/>
    <w:rsid w:val="002A5EB6"/>
    <w:rsid w:val="002A675F"/>
    <w:rsid w:val="002A68B0"/>
    <w:rsid w:val="002B1F11"/>
    <w:rsid w:val="002B2551"/>
    <w:rsid w:val="002B2AEE"/>
    <w:rsid w:val="002B2FCF"/>
    <w:rsid w:val="002B5820"/>
    <w:rsid w:val="002B5CCE"/>
    <w:rsid w:val="002B6564"/>
    <w:rsid w:val="002B7938"/>
    <w:rsid w:val="002C0F60"/>
    <w:rsid w:val="002C1245"/>
    <w:rsid w:val="002C170E"/>
    <w:rsid w:val="002C3546"/>
    <w:rsid w:val="002C37F7"/>
    <w:rsid w:val="002C5291"/>
    <w:rsid w:val="002C54F8"/>
    <w:rsid w:val="002C5E86"/>
    <w:rsid w:val="002C6154"/>
    <w:rsid w:val="002C6B27"/>
    <w:rsid w:val="002D0F77"/>
    <w:rsid w:val="002D18A6"/>
    <w:rsid w:val="002D2FAD"/>
    <w:rsid w:val="002D3DA5"/>
    <w:rsid w:val="002D41BA"/>
    <w:rsid w:val="002D4373"/>
    <w:rsid w:val="002D4681"/>
    <w:rsid w:val="002D5310"/>
    <w:rsid w:val="002D56E4"/>
    <w:rsid w:val="002D6868"/>
    <w:rsid w:val="002D6CEA"/>
    <w:rsid w:val="002E017E"/>
    <w:rsid w:val="002E1906"/>
    <w:rsid w:val="002E3253"/>
    <w:rsid w:val="002E3623"/>
    <w:rsid w:val="002E38FE"/>
    <w:rsid w:val="002E5304"/>
    <w:rsid w:val="002E6FDE"/>
    <w:rsid w:val="002F0132"/>
    <w:rsid w:val="002F079C"/>
    <w:rsid w:val="002F0A2E"/>
    <w:rsid w:val="002F2DF0"/>
    <w:rsid w:val="002F32C7"/>
    <w:rsid w:val="002F37B9"/>
    <w:rsid w:val="002F40D4"/>
    <w:rsid w:val="002F4447"/>
    <w:rsid w:val="002F45F2"/>
    <w:rsid w:val="002F7038"/>
    <w:rsid w:val="002F7A92"/>
    <w:rsid w:val="00302AA6"/>
    <w:rsid w:val="00302BC0"/>
    <w:rsid w:val="0030311E"/>
    <w:rsid w:val="0030386F"/>
    <w:rsid w:val="00304DAE"/>
    <w:rsid w:val="00305110"/>
    <w:rsid w:val="003056D0"/>
    <w:rsid w:val="00306F13"/>
    <w:rsid w:val="0031083F"/>
    <w:rsid w:val="0031192C"/>
    <w:rsid w:val="00311BB3"/>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E2E"/>
    <w:rsid w:val="00351829"/>
    <w:rsid w:val="003521DD"/>
    <w:rsid w:val="0035239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811F4"/>
    <w:rsid w:val="00381989"/>
    <w:rsid w:val="00381E87"/>
    <w:rsid w:val="0038221C"/>
    <w:rsid w:val="00382B79"/>
    <w:rsid w:val="00384A48"/>
    <w:rsid w:val="003862BB"/>
    <w:rsid w:val="00386AA0"/>
    <w:rsid w:val="00390368"/>
    <w:rsid w:val="00390CCC"/>
    <w:rsid w:val="003915B2"/>
    <w:rsid w:val="00392FA1"/>
    <w:rsid w:val="003945EA"/>
    <w:rsid w:val="00395A73"/>
    <w:rsid w:val="003964CD"/>
    <w:rsid w:val="00396B38"/>
    <w:rsid w:val="00397037"/>
    <w:rsid w:val="00397D03"/>
    <w:rsid w:val="003A2FFF"/>
    <w:rsid w:val="003A34C4"/>
    <w:rsid w:val="003A4D95"/>
    <w:rsid w:val="003A520E"/>
    <w:rsid w:val="003B0A21"/>
    <w:rsid w:val="003B5081"/>
    <w:rsid w:val="003B5B22"/>
    <w:rsid w:val="003B5F48"/>
    <w:rsid w:val="003B6B20"/>
    <w:rsid w:val="003B7495"/>
    <w:rsid w:val="003C0336"/>
    <w:rsid w:val="003C19B9"/>
    <w:rsid w:val="003C21A6"/>
    <w:rsid w:val="003C2F0A"/>
    <w:rsid w:val="003C30FC"/>
    <w:rsid w:val="003C3A83"/>
    <w:rsid w:val="003C3EBC"/>
    <w:rsid w:val="003C404F"/>
    <w:rsid w:val="003C51EB"/>
    <w:rsid w:val="003C6B2E"/>
    <w:rsid w:val="003C72FE"/>
    <w:rsid w:val="003C7EA9"/>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3C3C"/>
    <w:rsid w:val="003F4FB5"/>
    <w:rsid w:val="003F5251"/>
    <w:rsid w:val="003F5661"/>
    <w:rsid w:val="003F5C0B"/>
    <w:rsid w:val="003F5FB0"/>
    <w:rsid w:val="003F64C9"/>
    <w:rsid w:val="003F6728"/>
    <w:rsid w:val="00400A00"/>
    <w:rsid w:val="00401A59"/>
    <w:rsid w:val="00401F48"/>
    <w:rsid w:val="00402269"/>
    <w:rsid w:val="004022B2"/>
    <w:rsid w:val="004034CC"/>
    <w:rsid w:val="00405498"/>
    <w:rsid w:val="00407681"/>
    <w:rsid w:val="00412A5D"/>
    <w:rsid w:val="004156CD"/>
    <w:rsid w:val="00415831"/>
    <w:rsid w:val="004165F6"/>
    <w:rsid w:val="00416B8F"/>
    <w:rsid w:val="00416D60"/>
    <w:rsid w:val="00420326"/>
    <w:rsid w:val="00420D4A"/>
    <w:rsid w:val="004215E1"/>
    <w:rsid w:val="00421F74"/>
    <w:rsid w:val="00422BBA"/>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180F"/>
    <w:rsid w:val="0048231D"/>
    <w:rsid w:val="00483D1B"/>
    <w:rsid w:val="004848C1"/>
    <w:rsid w:val="00484B4B"/>
    <w:rsid w:val="0048573D"/>
    <w:rsid w:val="004918DD"/>
    <w:rsid w:val="004923AE"/>
    <w:rsid w:val="00492566"/>
    <w:rsid w:val="00494668"/>
    <w:rsid w:val="00494F5C"/>
    <w:rsid w:val="00496E71"/>
    <w:rsid w:val="004A19CE"/>
    <w:rsid w:val="004A27F4"/>
    <w:rsid w:val="004A5D9C"/>
    <w:rsid w:val="004A691A"/>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95C"/>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3EE5"/>
    <w:rsid w:val="00504B81"/>
    <w:rsid w:val="00505565"/>
    <w:rsid w:val="005119C7"/>
    <w:rsid w:val="00511F48"/>
    <w:rsid w:val="005121D5"/>
    <w:rsid w:val="005129C8"/>
    <w:rsid w:val="00514502"/>
    <w:rsid w:val="00514A3E"/>
    <w:rsid w:val="00514E86"/>
    <w:rsid w:val="005156FE"/>
    <w:rsid w:val="005179AB"/>
    <w:rsid w:val="00517C3C"/>
    <w:rsid w:val="00520024"/>
    <w:rsid w:val="0052387C"/>
    <w:rsid w:val="00524603"/>
    <w:rsid w:val="0052499E"/>
    <w:rsid w:val="0052533D"/>
    <w:rsid w:val="00525FDC"/>
    <w:rsid w:val="0052635F"/>
    <w:rsid w:val="00526558"/>
    <w:rsid w:val="005322B5"/>
    <w:rsid w:val="005325DB"/>
    <w:rsid w:val="00534A5E"/>
    <w:rsid w:val="00536A71"/>
    <w:rsid w:val="00536C6B"/>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5056"/>
    <w:rsid w:val="005553E9"/>
    <w:rsid w:val="0055613B"/>
    <w:rsid w:val="005563EA"/>
    <w:rsid w:val="005564D3"/>
    <w:rsid w:val="005578FB"/>
    <w:rsid w:val="00560716"/>
    <w:rsid w:val="00560B32"/>
    <w:rsid w:val="0056129F"/>
    <w:rsid w:val="00562103"/>
    <w:rsid w:val="0056236A"/>
    <w:rsid w:val="00563F12"/>
    <w:rsid w:val="005654FF"/>
    <w:rsid w:val="00565F6A"/>
    <w:rsid w:val="00566630"/>
    <w:rsid w:val="00566E27"/>
    <w:rsid w:val="0057090C"/>
    <w:rsid w:val="005711BE"/>
    <w:rsid w:val="0057316E"/>
    <w:rsid w:val="005736F1"/>
    <w:rsid w:val="005738EA"/>
    <w:rsid w:val="00573983"/>
    <w:rsid w:val="00574472"/>
    <w:rsid w:val="00575362"/>
    <w:rsid w:val="005758AC"/>
    <w:rsid w:val="00576441"/>
    <w:rsid w:val="00580945"/>
    <w:rsid w:val="00580F67"/>
    <w:rsid w:val="005818A3"/>
    <w:rsid w:val="00581A20"/>
    <w:rsid w:val="00582F1C"/>
    <w:rsid w:val="00584E53"/>
    <w:rsid w:val="005901A5"/>
    <w:rsid w:val="0059054F"/>
    <w:rsid w:val="0059060D"/>
    <w:rsid w:val="00590B36"/>
    <w:rsid w:val="00592A04"/>
    <w:rsid w:val="005943F2"/>
    <w:rsid w:val="005943F8"/>
    <w:rsid w:val="00597224"/>
    <w:rsid w:val="005A200B"/>
    <w:rsid w:val="005A430E"/>
    <w:rsid w:val="005A4B62"/>
    <w:rsid w:val="005A5B14"/>
    <w:rsid w:val="005B129D"/>
    <w:rsid w:val="005B1560"/>
    <w:rsid w:val="005B1B8A"/>
    <w:rsid w:val="005B271B"/>
    <w:rsid w:val="005B4CA4"/>
    <w:rsid w:val="005B4E32"/>
    <w:rsid w:val="005B5639"/>
    <w:rsid w:val="005C05AF"/>
    <w:rsid w:val="005C12D3"/>
    <w:rsid w:val="005C4C95"/>
    <w:rsid w:val="005C4D7B"/>
    <w:rsid w:val="005C66A8"/>
    <w:rsid w:val="005C6B21"/>
    <w:rsid w:val="005C7C7C"/>
    <w:rsid w:val="005D2BBE"/>
    <w:rsid w:val="005D2F64"/>
    <w:rsid w:val="005D4373"/>
    <w:rsid w:val="005D461E"/>
    <w:rsid w:val="005D4F79"/>
    <w:rsid w:val="005D4FA8"/>
    <w:rsid w:val="005D5756"/>
    <w:rsid w:val="005D5DC1"/>
    <w:rsid w:val="005D72F2"/>
    <w:rsid w:val="005D73E2"/>
    <w:rsid w:val="005E0051"/>
    <w:rsid w:val="005E0425"/>
    <w:rsid w:val="005E056C"/>
    <w:rsid w:val="005E126E"/>
    <w:rsid w:val="005E167E"/>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6415"/>
    <w:rsid w:val="00617D45"/>
    <w:rsid w:val="00621600"/>
    <w:rsid w:val="00622521"/>
    <w:rsid w:val="00624DA7"/>
    <w:rsid w:val="00625622"/>
    <w:rsid w:val="006268AD"/>
    <w:rsid w:val="00627DCF"/>
    <w:rsid w:val="00630023"/>
    <w:rsid w:val="00631091"/>
    <w:rsid w:val="00632417"/>
    <w:rsid w:val="00632BC1"/>
    <w:rsid w:val="00633718"/>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14B0"/>
    <w:rsid w:val="0066338C"/>
    <w:rsid w:val="00665D0B"/>
    <w:rsid w:val="00666C9F"/>
    <w:rsid w:val="00667ECB"/>
    <w:rsid w:val="00671EDD"/>
    <w:rsid w:val="00672967"/>
    <w:rsid w:val="00675E74"/>
    <w:rsid w:val="00680203"/>
    <w:rsid w:val="0068104E"/>
    <w:rsid w:val="00681238"/>
    <w:rsid w:val="0068255D"/>
    <w:rsid w:val="00684D74"/>
    <w:rsid w:val="006856D0"/>
    <w:rsid w:val="00685DE3"/>
    <w:rsid w:val="0068647D"/>
    <w:rsid w:val="00686659"/>
    <w:rsid w:val="00686F44"/>
    <w:rsid w:val="00686F46"/>
    <w:rsid w:val="00687397"/>
    <w:rsid w:val="0069120B"/>
    <w:rsid w:val="00691CA0"/>
    <w:rsid w:val="00692C28"/>
    <w:rsid w:val="006935AC"/>
    <w:rsid w:val="00694AB8"/>
    <w:rsid w:val="006968CC"/>
    <w:rsid w:val="00696C03"/>
    <w:rsid w:val="006A0017"/>
    <w:rsid w:val="006A18B7"/>
    <w:rsid w:val="006A2336"/>
    <w:rsid w:val="006A2712"/>
    <w:rsid w:val="006A278F"/>
    <w:rsid w:val="006A5829"/>
    <w:rsid w:val="006A5A54"/>
    <w:rsid w:val="006A61E3"/>
    <w:rsid w:val="006A696A"/>
    <w:rsid w:val="006A7280"/>
    <w:rsid w:val="006B2FC0"/>
    <w:rsid w:val="006B33BB"/>
    <w:rsid w:val="006B386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C5273"/>
    <w:rsid w:val="006D18A3"/>
    <w:rsid w:val="006D1C46"/>
    <w:rsid w:val="006D3378"/>
    <w:rsid w:val="006D4939"/>
    <w:rsid w:val="006D4A84"/>
    <w:rsid w:val="006D526B"/>
    <w:rsid w:val="006D5AB3"/>
    <w:rsid w:val="006D7F94"/>
    <w:rsid w:val="006E0221"/>
    <w:rsid w:val="006E0D26"/>
    <w:rsid w:val="006E0D44"/>
    <w:rsid w:val="006E10FD"/>
    <w:rsid w:val="006E32CF"/>
    <w:rsid w:val="006E392B"/>
    <w:rsid w:val="006E3964"/>
    <w:rsid w:val="006E4A88"/>
    <w:rsid w:val="006E774D"/>
    <w:rsid w:val="006E7E63"/>
    <w:rsid w:val="006E7FEA"/>
    <w:rsid w:val="006F0FE3"/>
    <w:rsid w:val="006F5D33"/>
    <w:rsid w:val="006F65E5"/>
    <w:rsid w:val="006F692D"/>
    <w:rsid w:val="00703F7E"/>
    <w:rsid w:val="00704865"/>
    <w:rsid w:val="00704B1B"/>
    <w:rsid w:val="00707C78"/>
    <w:rsid w:val="00707FF6"/>
    <w:rsid w:val="0071217D"/>
    <w:rsid w:val="00713FA2"/>
    <w:rsid w:val="00714FFE"/>
    <w:rsid w:val="007151A7"/>
    <w:rsid w:val="007151DF"/>
    <w:rsid w:val="007155CE"/>
    <w:rsid w:val="00715C1F"/>
    <w:rsid w:val="0072008B"/>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F58"/>
    <w:rsid w:val="007521CD"/>
    <w:rsid w:val="00752CDE"/>
    <w:rsid w:val="00753AAF"/>
    <w:rsid w:val="00753C6A"/>
    <w:rsid w:val="00754558"/>
    <w:rsid w:val="00754627"/>
    <w:rsid w:val="00755BD8"/>
    <w:rsid w:val="00755D42"/>
    <w:rsid w:val="007560D2"/>
    <w:rsid w:val="00756A16"/>
    <w:rsid w:val="007572A3"/>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0C24"/>
    <w:rsid w:val="00781348"/>
    <w:rsid w:val="00781B13"/>
    <w:rsid w:val="0078266D"/>
    <w:rsid w:val="00782E3F"/>
    <w:rsid w:val="00784DD5"/>
    <w:rsid w:val="00787245"/>
    <w:rsid w:val="00787472"/>
    <w:rsid w:val="0078786F"/>
    <w:rsid w:val="00787D48"/>
    <w:rsid w:val="00791150"/>
    <w:rsid w:val="0079160C"/>
    <w:rsid w:val="00791A5D"/>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4092"/>
    <w:rsid w:val="007B67B5"/>
    <w:rsid w:val="007B7351"/>
    <w:rsid w:val="007C006C"/>
    <w:rsid w:val="007C27CA"/>
    <w:rsid w:val="007C2E83"/>
    <w:rsid w:val="007C36E6"/>
    <w:rsid w:val="007C3E85"/>
    <w:rsid w:val="007C761A"/>
    <w:rsid w:val="007C76D3"/>
    <w:rsid w:val="007C7CB8"/>
    <w:rsid w:val="007C7D25"/>
    <w:rsid w:val="007D01F2"/>
    <w:rsid w:val="007D05B2"/>
    <w:rsid w:val="007D06D8"/>
    <w:rsid w:val="007D0C1E"/>
    <w:rsid w:val="007D5A91"/>
    <w:rsid w:val="007E1574"/>
    <w:rsid w:val="007E22C4"/>
    <w:rsid w:val="007E2D3D"/>
    <w:rsid w:val="007E4A7C"/>
    <w:rsid w:val="007E67CE"/>
    <w:rsid w:val="007E757E"/>
    <w:rsid w:val="007E7833"/>
    <w:rsid w:val="007F1895"/>
    <w:rsid w:val="007F2F8D"/>
    <w:rsid w:val="007F6185"/>
    <w:rsid w:val="007F7A66"/>
    <w:rsid w:val="008023D1"/>
    <w:rsid w:val="00802E36"/>
    <w:rsid w:val="00803A77"/>
    <w:rsid w:val="00803B15"/>
    <w:rsid w:val="008046FB"/>
    <w:rsid w:val="00804E08"/>
    <w:rsid w:val="00806CB6"/>
    <w:rsid w:val="00806FAF"/>
    <w:rsid w:val="008105FF"/>
    <w:rsid w:val="00810B53"/>
    <w:rsid w:val="008114AF"/>
    <w:rsid w:val="00813575"/>
    <w:rsid w:val="00813A2E"/>
    <w:rsid w:val="00813EB1"/>
    <w:rsid w:val="00815207"/>
    <w:rsid w:val="008154FD"/>
    <w:rsid w:val="00816830"/>
    <w:rsid w:val="00816E2D"/>
    <w:rsid w:val="0081736C"/>
    <w:rsid w:val="008205E8"/>
    <w:rsid w:val="00820915"/>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40FFF"/>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3D8E"/>
    <w:rsid w:val="008B774E"/>
    <w:rsid w:val="008B79A1"/>
    <w:rsid w:val="008B7F31"/>
    <w:rsid w:val="008C06EC"/>
    <w:rsid w:val="008C18A9"/>
    <w:rsid w:val="008C1C21"/>
    <w:rsid w:val="008C2ABE"/>
    <w:rsid w:val="008C4366"/>
    <w:rsid w:val="008C4C5B"/>
    <w:rsid w:val="008C4CD2"/>
    <w:rsid w:val="008C6E94"/>
    <w:rsid w:val="008C6F8B"/>
    <w:rsid w:val="008D1F23"/>
    <w:rsid w:val="008D443E"/>
    <w:rsid w:val="008D4D1D"/>
    <w:rsid w:val="008D7E34"/>
    <w:rsid w:val="008D7FE6"/>
    <w:rsid w:val="008E0F30"/>
    <w:rsid w:val="008E127E"/>
    <w:rsid w:val="008E2CBA"/>
    <w:rsid w:val="008E32B0"/>
    <w:rsid w:val="008E34BA"/>
    <w:rsid w:val="008E535E"/>
    <w:rsid w:val="008E57FC"/>
    <w:rsid w:val="008E7553"/>
    <w:rsid w:val="008E793D"/>
    <w:rsid w:val="008E7D93"/>
    <w:rsid w:val="0090098B"/>
    <w:rsid w:val="00900B5F"/>
    <w:rsid w:val="00900BDD"/>
    <w:rsid w:val="0090269E"/>
    <w:rsid w:val="009028B5"/>
    <w:rsid w:val="00902A22"/>
    <w:rsid w:val="00905895"/>
    <w:rsid w:val="00906951"/>
    <w:rsid w:val="00907EBF"/>
    <w:rsid w:val="009101C1"/>
    <w:rsid w:val="009104B9"/>
    <w:rsid w:val="00910A43"/>
    <w:rsid w:val="00912119"/>
    <w:rsid w:val="00912FD3"/>
    <w:rsid w:val="0091316F"/>
    <w:rsid w:val="00913FE3"/>
    <w:rsid w:val="00914682"/>
    <w:rsid w:val="00915C6C"/>
    <w:rsid w:val="00916522"/>
    <w:rsid w:val="009168F9"/>
    <w:rsid w:val="0091765F"/>
    <w:rsid w:val="00917850"/>
    <w:rsid w:val="00923E15"/>
    <w:rsid w:val="009241A3"/>
    <w:rsid w:val="0092436E"/>
    <w:rsid w:val="00924835"/>
    <w:rsid w:val="00924B39"/>
    <w:rsid w:val="00924D8E"/>
    <w:rsid w:val="00925701"/>
    <w:rsid w:val="009258F6"/>
    <w:rsid w:val="009263EC"/>
    <w:rsid w:val="00926CCD"/>
    <w:rsid w:val="00927251"/>
    <w:rsid w:val="00930153"/>
    <w:rsid w:val="00930A8C"/>
    <w:rsid w:val="00930C00"/>
    <w:rsid w:val="0093153F"/>
    <w:rsid w:val="00931CC6"/>
    <w:rsid w:val="009339FB"/>
    <w:rsid w:val="00933FB2"/>
    <w:rsid w:val="0093412B"/>
    <w:rsid w:val="00934868"/>
    <w:rsid w:val="009349FF"/>
    <w:rsid w:val="00934FA0"/>
    <w:rsid w:val="00935CB2"/>
    <w:rsid w:val="00936236"/>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4E3"/>
    <w:rsid w:val="00956A2D"/>
    <w:rsid w:val="00961B82"/>
    <w:rsid w:val="00962022"/>
    <w:rsid w:val="00963D38"/>
    <w:rsid w:val="00963F99"/>
    <w:rsid w:val="00964351"/>
    <w:rsid w:val="00964882"/>
    <w:rsid w:val="009649E9"/>
    <w:rsid w:val="00964A2A"/>
    <w:rsid w:val="00964A58"/>
    <w:rsid w:val="00965C45"/>
    <w:rsid w:val="00967354"/>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6666"/>
    <w:rsid w:val="009A767E"/>
    <w:rsid w:val="009A77CC"/>
    <w:rsid w:val="009B00F9"/>
    <w:rsid w:val="009B2B1D"/>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5982"/>
    <w:rsid w:val="009D6A33"/>
    <w:rsid w:val="009D6FCF"/>
    <w:rsid w:val="009D76C2"/>
    <w:rsid w:val="009D7BE3"/>
    <w:rsid w:val="009E01FE"/>
    <w:rsid w:val="009E1F37"/>
    <w:rsid w:val="009E3412"/>
    <w:rsid w:val="009E58DD"/>
    <w:rsid w:val="009E5962"/>
    <w:rsid w:val="009E59AB"/>
    <w:rsid w:val="009F2F33"/>
    <w:rsid w:val="009F3C79"/>
    <w:rsid w:val="009F4B4E"/>
    <w:rsid w:val="009F5161"/>
    <w:rsid w:val="009F699E"/>
    <w:rsid w:val="009F6C6D"/>
    <w:rsid w:val="009F741F"/>
    <w:rsid w:val="009F7E78"/>
    <w:rsid w:val="00A00B70"/>
    <w:rsid w:val="00A02176"/>
    <w:rsid w:val="00A02589"/>
    <w:rsid w:val="00A03158"/>
    <w:rsid w:val="00A035F4"/>
    <w:rsid w:val="00A04360"/>
    <w:rsid w:val="00A04D83"/>
    <w:rsid w:val="00A0522F"/>
    <w:rsid w:val="00A06104"/>
    <w:rsid w:val="00A11776"/>
    <w:rsid w:val="00A1247A"/>
    <w:rsid w:val="00A12914"/>
    <w:rsid w:val="00A13191"/>
    <w:rsid w:val="00A1323E"/>
    <w:rsid w:val="00A13752"/>
    <w:rsid w:val="00A13F24"/>
    <w:rsid w:val="00A15A88"/>
    <w:rsid w:val="00A15CCD"/>
    <w:rsid w:val="00A16070"/>
    <w:rsid w:val="00A165FB"/>
    <w:rsid w:val="00A1662C"/>
    <w:rsid w:val="00A168FF"/>
    <w:rsid w:val="00A16966"/>
    <w:rsid w:val="00A16D6B"/>
    <w:rsid w:val="00A17B4B"/>
    <w:rsid w:val="00A17FBE"/>
    <w:rsid w:val="00A2065E"/>
    <w:rsid w:val="00A209D2"/>
    <w:rsid w:val="00A218E0"/>
    <w:rsid w:val="00A222CF"/>
    <w:rsid w:val="00A233A0"/>
    <w:rsid w:val="00A23F2A"/>
    <w:rsid w:val="00A245E4"/>
    <w:rsid w:val="00A24DEA"/>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4FCA"/>
    <w:rsid w:val="00A56C02"/>
    <w:rsid w:val="00A57BC2"/>
    <w:rsid w:val="00A57EA1"/>
    <w:rsid w:val="00A60D65"/>
    <w:rsid w:val="00A62234"/>
    <w:rsid w:val="00A62243"/>
    <w:rsid w:val="00A657D2"/>
    <w:rsid w:val="00A65B4B"/>
    <w:rsid w:val="00A65DD6"/>
    <w:rsid w:val="00A6763F"/>
    <w:rsid w:val="00A70311"/>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31"/>
    <w:rsid w:val="00AA0BE8"/>
    <w:rsid w:val="00AA256A"/>
    <w:rsid w:val="00AA2E88"/>
    <w:rsid w:val="00AA3B36"/>
    <w:rsid w:val="00AA4A85"/>
    <w:rsid w:val="00AA4A99"/>
    <w:rsid w:val="00AA782D"/>
    <w:rsid w:val="00AB0AEC"/>
    <w:rsid w:val="00AB0E00"/>
    <w:rsid w:val="00AB2195"/>
    <w:rsid w:val="00AB2AF5"/>
    <w:rsid w:val="00AB3F33"/>
    <w:rsid w:val="00AB4966"/>
    <w:rsid w:val="00AB6A47"/>
    <w:rsid w:val="00AB7CDC"/>
    <w:rsid w:val="00AB7D3E"/>
    <w:rsid w:val="00AB7EC8"/>
    <w:rsid w:val="00AC1712"/>
    <w:rsid w:val="00AC1836"/>
    <w:rsid w:val="00AC3D7B"/>
    <w:rsid w:val="00AC4C8F"/>
    <w:rsid w:val="00AC727A"/>
    <w:rsid w:val="00AD031D"/>
    <w:rsid w:val="00AD0C18"/>
    <w:rsid w:val="00AD36E8"/>
    <w:rsid w:val="00AD4260"/>
    <w:rsid w:val="00AD671F"/>
    <w:rsid w:val="00AD6C2C"/>
    <w:rsid w:val="00AD789F"/>
    <w:rsid w:val="00AE0E71"/>
    <w:rsid w:val="00AE1A8E"/>
    <w:rsid w:val="00AE1B60"/>
    <w:rsid w:val="00AE45B5"/>
    <w:rsid w:val="00AE72F2"/>
    <w:rsid w:val="00AE7937"/>
    <w:rsid w:val="00AE7F76"/>
    <w:rsid w:val="00AF0F1B"/>
    <w:rsid w:val="00AF21B5"/>
    <w:rsid w:val="00AF32F8"/>
    <w:rsid w:val="00AF378D"/>
    <w:rsid w:val="00AF3877"/>
    <w:rsid w:val="00AF38D6"/>
    <w:rsid w:val="00AF5314"/>
    <w:rsid w:val="00AF6149"/>
    <w:rsid w:val="00AF7EED"/>
    <w:rsid w:val="00B00898"/>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AB9"/>
    <w:rsid w:val="00B22D49"/>
    <w:rsid w:val="00B23237"/>
    <w:rsid w:val="00B23AAB"/>
    <w:rsid w:val="00B25BF8"/>
    <w:rsid w:val="00B25DF3"/>
    <w:rsid w:val="00B32A33"/>
    <w:rsid w:val="00B33760"/>
    <w:rsid w:val="00B35119"/>
    <w:rsid w:val="00B36BFF"/>
    <w:rsid w:val="00B37095"/>
    <w:rsid w:val="00B37BE5"/>
    <w:rsid w:val="00B403EF"/>
    <w:rsid w:val="00B40DDC"/>
    <w:rsid w:val="00B4116A"/>
    <w:rsid w:val="00B42874"/>
    <w:rsid w:val="00B432CA"/>
    <w:rsid w:val="00B444C8"/>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71211"/>
    <w:rsid w:val="00B72DAE"/>
    <w:rsid w:val="00B7377C"/>
    <w:rsid w:val="00B769F4"/>
    <w:rsid w:val="00B76D55"/>
    <w:rsid w:val="00B77AE1"/>
    <w:rsid w:val="00B80F14"/>
    <w:rsid w:val="00B81084"/>
    <w:rsid w:val="00B8251A"/>
    <w:rsid w:val="00B86EA7"/>
    <w:rsid w:val="00B87BC1"/>
    <w:rsid w:val="00B9297F"/>
    <w:rsid w:val="00B95485"/>
    <w:rsid w:val="00B95CBB"/>
    <w:rsid w:val="00B978FE"/>
    <w:rsid w:val="00BA2292"/>
    <w:rsid w:val="00BA4417"/>
    <w:rsid w:val="00BA4C3B"/>
    <w:rsid w:val="00BA6DC0"/>
    <w:rsid w:val="00BB0BDB"/>
    <w:rsid w:val="00BB3CEF"/>
    <w:rsid w:val="00BC016F"/>
    <w:rsid w:val="00BC0959"/>
    <w:rsid w:val="00BC14D4"/>
    <w:rsid w:val="00BC3576"/>
    <w:rsid w:val="00BC6CEB"/>
    <w:rsid w:val="00BC745E"/>
    <w:rsid w:val="00BD17AC"/>
    <w:rsid w:val="00BD3214"/>
    <w:rsid w:val="00BD351B"/>
    <w:rsid w:val="00BD41E3"/>
    <w:rsid w:val="00BD5438"/>
    <w:rsid w:val="00BD573D"/>
    <w:rsid w:val="00BD726D"/>
    <w:rsid w:val="00BD7BC2"/>
    <w:rsid w:val="00BE5147"/>
    <w:rsid w:val="00BE63CA"/>
    <w:rsid w:val="00BE6AEE"/>
    <w:rsid w:val="00BF01E5"/>
    <w:rsid w:val="00BF04FA"/>
    <w:rsid w:val="00BF0E81"/>
    <w:rsid w:val="00BF126F"/>
    <w:rsid w:val="00BF1E8E"/>
    <w:rsid w:val="00BF28B7"/>
    <w:rsid w:val="00BF2D95"/>
    <w:rsid w:val="00BF30AF"/>
    <w:rsid w:val="00BF42C8"/>
    <w:rsid w:val="00BF4ACB"/>
    <w:rsid w:val="00BF570A"/>
    <w:rsid w:val="00BF5B21"/>
    <w:rsid w:val="00BF5F09"/>
    <w:rsid w:val="00BF66F3"/>
    <w:rsid w:val="00C011A4"/>
    <w:rsid w:val="00C019FC"/>
    <w:rsid w:val="00C02538"/>
    <w:rsid w:val="00C02610"/>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64D0"/>
    <w:rsid w:val="00C3037C"/>
    <w:rsid w:val="00C30948"/>
    <w:rsid w:val="00C30F5D"/>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67BB"/>
    <w:rsid w:val="00C568D0"/>
    <w:rsid w:val="00C56D94"/>
    <w:rsid w:val="00C611FE"/>
    <w:rsid w:val="00C61420"/>
    <w:rsid w:val="00C646DD"/>
    <w:rsid w:val="00C64800"/>
    <w:rsid w:val="00C658CC"/>
    <w:rsid w:val="00C71423"/>
    <w:rsid w:val="00C7201D"/>
    <w:rsid w:val="00C7266D"/>
    <w:rsid w:val="00C72918"/>
    <w:rsid w:val="00C737E1"/>
    <w:rsid w:val="00C74153"/>
    <w:rsid w:val="00C7455A"/>
    <w:rsid w:val="00C75E6A"/>
    <w:rsid w:val="00C76098"/>
    <w:rsid w:val="00C77BF4"/>
    <w:rsid w:val="00C82173"/>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D6B23"/>
    <w:rsid w:val="00CE1B4A"/>
    <w:rsid w:val="00CE37AD"/>
    <w:rsid w:val="00CE505E"/>
    <w:rsid w:val="00CE56E6"/>
    <w:rsid w:val="00CE5A20"/>
    <w:rsid w:val="00CE617C"/>
    <w:rsid w:val="00CF22B3"/>
    <w:rsid w:val="00CF509B"/>
    <w:rsid w:val="00CF66C9"/>
    <w:rsid w:val="00CF7C5D"/>
    <w:rsid w:val="00D00D80"/>
    <w:rsid w:val="00D017B1"/>
    <w:rsid w:val="00D02860"/>
    <w:rsid w:val="00D03673"/>
    <w:rsid w:val="00D05887"/>
    <w:rsid w:val="00D10123"/>
    <w:rsid w:val="00D11A26"/>
    <w:rsid w:val="00D12F39"/>
    <w:rsid w:val="00D13C11"/>
    <w:rsid w:val="00D13E1B"/>
    <w:rsid w:val="00D1408C"/>
    <w:rsid w:val="00D144E7"/>
    <w:rsid w:val="00D1453B"/>
    <w:rsid w:val="00D14B64"/>
    <w:rsid w:val="00D14E81"/>
    <w:rsid w:val="00D14F7D"/>
    <w:rsid w:val="00D15641"/>
    <w:rsid w:val="00D17B0F"/>
    <w:rsid w:val="00D20CB9"/>
    <w:rsid w:val="00D21FF1"/>
    <w:rsid w:val="00D22857"/>
    <w:rsid w:val="00D22B85"/>
    <w:rsid w:val="00D24051"/>
    <w:rsid w:val="00D250C3"/>
    <w:rsid w:val="00D25A74"/>
    <w:rsid w:val="00D2607E"/>
    <w:rsid w:val="00D26975"/>
    <w:rsid w:val="00D301B4"/>
    <w:rsid w:val="00D3096D"/>
    <w:rsid w:val="00D31C1B"/>
    <w:rsid w:val="00D320AE"/>
    <w:rsid w:val="00D32623"/>
    <w:rsid w:val="00D331F8"/>
    <w:rsid w:val="00D34898"/>
    <w:rsid w:val="00D36670"/>
    <w:rsid w:val="00D37965"/>
    <w:rsid w:val="00D37AD8"/>
    <w:rsid w:val="00D42DD2"/>
    <w:rsid w:val="00D437FA"/>
    <w:rsid w:val="00D447C2"/>
    <w:rsid w:val="00D45692"/>
    <w:rsid w:val="00D457DA"/>
    <w:rsid w:val="00D47500"/>
    <w:rsid w:val="00D5001C"/>
    <w:rsid w:val="00D526A9"/>
    <w:rsid w:val="00D52A07"/>
    <w:rsid w:val="00D56E60"/>
    <w:rsid w:val="00D57E47"/>
    <w:rsid w:val="00D60709"/>
    <w:rsid w:val="00D623BA"/>
    <w:rsid w:val="00D63F3F"/>
    <w:rsid w:val="00D66744"/>
    <w:rsid w:val="00D66798"/>
    <w:rsid w:val="00D66878"/>
    <w:rsid w:val="00D671F4"/>
    <w:rsid w:val="00D70617"/>
    <w:rsid w:val="00D7274B"/>
    <w:rsid w:val="00D7307E"/>
    <w:rsid w:val="00D73296"/>
    <w:rsid w:val="00D73EBB"/>
    <w:rsid w:val="00D75779"/>
    <w:rsid w:val="00D75D69"/>
    <w:rsid w:val="00D77AC4"/>
    <w:rsid w:val="00D8082E"/>
    <w:rsid w:val="00D80D9D"/>
    <w:rsid w:val="00D810E3"/>
    <w:rsid w:val="00D815F5"/>
    <w:rsid w:val="00D8224D"/>
    <w:rsid w:val="00D83555"/>
    <w:rsid w:val="00D84608"/>
    <w:rsid w:val="00D84C48"/>
    <w:rsid w:val="00D871E2"/>
    <w:rsid w:val="00D8733F"/>
    <w:rsid w:val="00D877AF"/>
    <w:rsid w:val="00D90529"/>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6145"/>
    <w:rsid w:val="00DC71DD"/>
    <w:rsid w:val="00DC79C6"/>
    <w:rsid w:val="00DD0447"/>
    <w:rsid w:val="00DD0B04"/>
    <w:rsid w:val="00DD199C"/>
    <w:rsid w:val="00DD2C7E"/>
    <w:rsid w:val="00DD7352"/>
    <w:rsid w:val="00DD7EBE"/>
    <w:rsid w:val="00DE085B"/>
    <w:rsid w:val="00DE0FDD"/>
    <w:rsid w:val="00DE1743"/>
    <w:rsid w:val="00DE3766"/>
    <w:rsid w:val="00DE3997"/>
    <w:rsid w:val="00DE4C24"/>
    <w:rsid w:val="00DE52AA"/>
    <w:rsid w:val="00DE58D9"/>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455E"/>
    <w:rsid w:val="00E04895"/>
    <w:rsid w:val="00E05035"/>
    <w:rsid w:val="00E074C5"/>
    <w:rsid w:val="00E07D0D"/>
    <w:rsid w:val="00E10772"/>
    <w:rsid w:val="00E152C3"/>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5FCD"/>
    <w:rsid w:val="00E46EC8"/>
    <w:rsid w:val="00E50602"/>
    <w:rsid w:val="00E50D34"/>
    <w:rsid w:val="00E60673"/>
    <w:rsid w:val="00E60EDC"/>
    <w:rsid w:val="00E62ED6"/>
    <w:rsid w:val="00E63604"/>
    <w:rsid w:val="00E652D3"/>
    <w:rsid w:val="00E65498"/>
    <w:rsid w:val="00E6612A"/>
    <w:rsid w:val="00E66714"/>
    <w:rsid w:val="00E67926"/>
    <w:rsid w:val="00E70BC4"/>
    <w:rsid w:val="00E72198"/>
    <w:rsid w:val="00E724BF"/>
    <w:rsid w:val="00E72FF1"/>
    <w:rsid w:val="00E73121"/>
    <w:rsid w:val="00E739B2"/>
    <w:rsid w:val="00E73A7A"/>
    <w:rsid w:val="00E741DB"/>
    <w:rsid w:val="00E7456C"/>
    <w:rsid w:val="00E7475D"/>
    <w:rsid w:val="00E74B9E"/>
    <w:rsid w:val="00E75424"/>
    <w:rsid w:val="00E75442"/>
    <w:rsid w:val="00E75784"/>
    <w:rsid w:val="00E75E0E"/>
    <w:rsid w:val="00E77140"/>
    <w:rsid w:val="00E82517"/>
    <w:rsid w:val="00E82A40"/>
    <w:rsid w:val="00E84FC3"/>
    <w:rsid w:val="00E870B2"/>
    <w:rsid w:val="00E9094C"/>
    <w:rsid w:val="00E912BF"/>
    <w:rsid w:val="00E91E65"/>
    <w:rsid w:val="00E93B76"/>
    <w:rsid w:val="00E93BFC"/>
    <w:rsid w:val="00EA170B"/>
    <w:rsid w:val="00EA218C"/>
    <w:rsid w:val="00EA2A05"/>
    <w:rsid w:val="00EA38E9"/>
    <w:rsid w:val="00EA64E5"/>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E82"/>
    <w:rsid w:val="00ED4D39"/>
    <w:rsid w:val="00ED5907"/>
    <w:rsid w:val="00ED660D"/>
    <w:rsid w:val="00ED66D5"/>
    <w:rsid w:val="00ED69E1"/>
    <w:rsid w:val="00ED70A6"/>
    <w:rsid w:val="00EE1373"/>
    <w:rsid w:val="00EE13EB"/>
    <w:rsid w:val="00EE33A2"/>
    <w:rsid w:val="00EE3BF5"/>
    <w:rsid w:val="00EE3E97"/>
    <w:rsid w:val="00EE414E"/>
    <w:rsid w:val="00EE4849"/>
    <w:rsid w:val="00EE5BF6"/>
    <w:rsid w:val="00EE6722"/>
    <w:rsid w:val="00EF041F"/>
    <w:rsid w:val="00EF15C0"/>
    <w:rsid w:val="00EF33C6"/>
    <w:rsid w:val="00EF3F5E"/>
    <w:rsid w:val="00EF44E5"/>
    <w:rsid w:val="00EF5A5A"/>
    <w:rsid w:val="00EF63FB"/>
    <w:rsid w:val="00EF7210"/>
    <w:rsid w:val="00F00CF2"/>
    <w:rsid w:val="00F013B9"/>
    <w:rsid w:val="00F02244"/>
    <w:rsid w:val="00F02AC3"/>
    <w:rsid w:val="00F043FD"/>
    <w:rsid w:val="00F0442A"/>
    <w:rsid w:val="00F06428"/>
    <w:rsid w:val="00F1019D"/>
    <w:rsid w:val="00F11019"/>
    <w:rsid w:val="00F1188D"/>
    <w:rsid w:val="00F140DD"/>
    <w:rsid w:val="00F15F5C"/>
    <w:rsid w:val="00F16472"/>
    <w:rsid w:val="00F2120D"/>
    <w:rsid w:val="00F214F6"/>
    <w:rsid w:val="00F221BC"/>
    <w:rsid w:val="00F22267"/>
    <w:rsid w:val="00F2412D"/>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4D16"/>
    <w:rsid w:val="00F55DFB"/>
    <w:rsid w:val="00F56201"/>
    <w:rsid w:val="00F569E8"/>
    <w:rsid w:val="00F573BF"/>
    <w:rsid w:val="00F601BB"/>
    <w:rsid w:val="00F65ED8"/>
    <w:rsid w:val="00F66B15"/>
    <w:rsid w:val="00F66CE4"/>
    <w:rsid w:val="00F66D12"/>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1DF"/>
    <w:rsid w:val="00FA0437"/>
    <w:rsid w:val="00FA0FCA"/>
    <w:rsid w:val="00FA2B0F"/>
    <w:rsid w:val="00FA42CB"/>
    <w:rsid w:val="00FA6CA2"/>
    <w:rsid w:val="00FA739B"/>
    <w:rsid w:val="00FA7B64"/>
    <w:rsid w:val="00FA7EB1"/>
    <w:rsid w:val="00FB0A06"/>
    <w:rsid w:val="00FB0FB7"/>
    <w:rsid w:val="00FB0FDE"/>
    <w:rsid w:val="00FB1D5E"/>
    <w:rsid w:val="00FB614E"/>
    <w:rsid w:val="00FB6B54"/>
    <w:rsid w:val="00FC0BB0"/>
    <w:rsid w:val="00FC36AA"/>
    <w:rsid w:val="00FC44D2"/>
    <w:rsid w:val="00FC4CE8"/>
    <w:rsid w:val="00FC4D33"/>
    <w:rsid w:val="00FC59C8"/>
    <w:rsid w:val="00FC6924"/>
    <w:rsid w:val="00FC706D"/>
    <w:rsid w:val="00FD0841"/>
    <w:rsid w:val="00FD13D9"/>
    <w:rsid w:val="00FD1828"/>
    <w:rsid w:val="00FD1AAD"/>
    <w:rsid w:val="00FD3CAB"/>
    <w:rsid w:val="00FD3FF7"/>
    <w:rsid w:val="00FD5295"/>
    <w:rsid w:val="00FD5858"/>
    <w:rsid w:val="00FD71CA"/>
    <w:rsid w:val="00FE0BE8"/>
    <w:rsid w:val="00FE13D5"/>
    <w:rsid w:val="00FE42FA"/>
    <w:rsid w:val="00FE4678"/>
    <w:rsid w:val="00FE4A0C"/>
    <w:rsid w:val="00FE60EA"/>
    <w:rsid w:val="00FE67F6"/>
    <w:rsid w:val="00FE742D"/>
    <w:rsid w:val="00FE7489"/>
    <w:rsid w:val="00FF07C7"/>
    <w:rsid w:val="00FF104B"/>
    <w:rsid w:val="00FF2321"/>
    <w:rsid w:val="00FF27A2"/>
    <w:rsid w:val="00FF38AB"/>
    <w:rsid w:val="00FF3B20"/>
    <w:rsid w:val="00FF3BB6"/>
    <w:rsid w:val="00FF5FF3"/>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A5F6-2DA1-402A-9B3D-F3DA9C42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20</Pages>
  <Words>6369</Words>
  <Characters>36680</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CRISTIANE M. BETIATO</cp:lastModifiedBy>
  <cp:revision>336</cp:revision>
  <cp:lastPrinted>2022-08-09T13:18:00Z</cp:lastPrinted>
  <dcterms:created xsi:type="dcterms:W3CDTF">2022-04-27T19:46:00Z</dcterms:created>
  <dcterms:modified xsi:type="dcterms:W3CDTF">2023-01-06T13:06:00Z</dcterms:modified>
</cp:coreProperties>
</file>